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88C" w:rsidRPr="0045188C" w:rsidRDefault="0045188C" w:rsidP="0045188C">
      <w:pPr>
        <w:spacing w:after="0" w:line="240" w:lineRule="auto"/>
        <w:jc w:val="both"/>
        <w:outlineLvl w:val="2"/>
        <w:rPr>
          <w:rFonts w:ascii="Times New Roman" w:eastAsia="Times New Roman" w:hAnsi="Times New Roman" w:cs="Times New Roman"/>
          <w:b/>
          <w:bCs/>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Response to Reviewers</w:t>
      </w:r>
    </w:p>
    <w:p w:rsidR="0045188C" w:rsidRPr="0045188C" w:rsidRDefault="0045188C" w:rsidP="0045188C">
      <w:pPr>
        <w:spacing w:after="0" w:line="240" w:lineRule="auto"/>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Paper ID:</w:t>
      </w:r>
      <w:r w:rsidRPr="0045188C">
        <w:rPr>
          <w:rFonts w:ascii="Times New Roman" w:eastAsia="Times New Roman" w:hAnsi="Times New Roman" w:cs="Times New Roman"/>
          <w:color w:val="1F1F1F"/>
          <w:sz w:val="20"/>
          <w:szCs w:val="20"/>
          <w:lang w:val="en-US" w:eastAsia="ru-RU"/>
        </w:rPr>
        <w:t xml:space="preserve"> 166</w:t>
      </w:r>
    </w:p>
    <w:p w:rsidR="0045188C" w:rsidRPr="0045188C" w:rsidRDefault="0045188C" w:rsidP="0045188C">
      <w:pPr>
        <w:spacing w:after="0" w:line="240" w:lineRule="auto"/>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Title:</w:t>
      </w:r>
      <w:r w:rsidRPr="0045188C">
        <w:rPr>
          <w:rFonts w:ascii="Times New Roman" w:eastAsia="Times New Roman" w:hAnsi="Times New Roman" w:cs="Times New Roman"/>
          <w:color w:val="1F1F1F"/>
          <w:sz w:val="20"/>
          <w:szCs w:val="20"/>
          <w:lang w:val="en-US" w:eastAsia="ru-RU"/>
        </w:rPr>
        <w:t xml:space="preserve"> Analysis of dynamic response and energy absorption of three-layer aluminum-polymer sandwich panels for uav structures</w:t>
      </w:r>
    </w:p>
    <w:p w:rsidR="0045188C" w:rsidRPr="0045188C" w:rsidRDefault="0045188C" w:rsidP="0045188C">
      <w:pPr>
        <w:spacing w:after="0" w:line="240" w:lineRule="auto"/>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color w:val="1F1F1F"/>
          <w:sz w:val="20"/>
          <w:szCs w:val="20"/>
          <w:lang w:val="en-US" w:eastAsia="ru-RU"/>
        </w:rPr>
        <w:t>We express our sincere gratitude to the reviewers for their constructive comments and valuable suggestions, which have significantly helped us improve the quality, mathematical rigor, and clarity of our manuscript. We have carefully addressed all concerns raised and performed all requested revisions in the updated manuscript.</w:t>
      </w:r>
    </w:p>
    <w:p w:rsidR="0045188C" w:rsidRPr="0045188C" w:rsidRDefault="0045188C" w:rsidP="0045188C">
      <w:pPr>
        <w:spacing w:after="0" w:line="240" w:lineRule="auto"/>
        <w:jc w:val="both"/>
        <w:outlineLvl w:val="2"/>
        <w:rPr>
          <w:rFonts w:ascii="Times New Roman" w:eastAsia="Times New Roman" w:hAnsi="Times New Roman" w:cs="Times New Roman"/>
          <w:b/>
          <w:bCs/>
          <w:color w:val="1F1F1F"/>
          <w:sz w:val="20"/>
          <w:szCs w:val="20"/>
          <w:lang w:eastAsia="ru-RU"/>
        </w:rPr>
      </w:pPr>
      <w:r w:rsidRPr="0045188C">
        <w:rPr>
          <w:rFonts w:ascii="Times New Roman" w:eastAsia="Times New Roman" w:hAnsi="Times New Roman" w:cs="Times New Roman"/>
          <w:b/>
          <w:bCs/>
          <w:color w:val="1F1F1F"/>
          <w:sz w:val="20"/>
          <w:szCs w:val="20"/>
          <w:bdr w:val="none" w:sz="0" w:space="0" w:color="auto" w:frame="1"/>
          <w:lang w:eastAsia="ru-RU"/>
        </w:rPr>
        <w:t>General Summary of Revisions:</w:t>
      </w:r>
    </w:p>
    <w:p w:rsidR="0045188C" w:rsidRPr="0045188C" w:rsidRDefault="0045188C" w:rsidP="0045188C">
      <w:pPr>
        <w:numPr>
          <w:ilvl w:val="0"/>
          <w:numId w:val="4"/>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Mathematical Model &amp; Formulation:</w:t>
      </w:r>
      <w:r w:rsidRPr="0045188C">
        <w:rPr>
          <w:rFonts w:ascii="Times New Roman" w:eastAsia="Times New Roman" w:hAnsi="Times New Roman" w:cs="Times New Roman"/>
          <w:color w:val="1F1F1F"/>
          <w:sz w:val="20"/>
          <w:szCs w:val="20"/>
          <w:lang w:val="en-US" w:eastAsia="ru-RU"/>
        </w:rPr>
        <w:t xml:space="preserve"> Equations in Section 2 have been properly numbered (Equations 1–4). We have clarified the physical definitions of the transverse coordinate (</w:t>
      </w:r>
      <w:r w:rsidR="008976B9" w:rsidRPr="00025957">
        <w:rPr>
          <w:position w:val="-4"/>
        </w:rPr>
        <w:object w:dxaOrig="20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5pt;height:10.15pt" o:ole="">
            <v:imagedata r:id="rId5" o:title=""/>
          </v:shape>
          <o:OLEObject Type="Embed" ProgID="Equation.DSMT4" ShapeID="_x0000_i1025" DrawAspect="Content" ObjectID="_1846698125" r:id="rId6"/>
        </w:object>
      </w:r>
      <w:r w:rsidRPr="0045188C">
        <w:rPr>
          <w:rFonts w:ascii="Times New Roman" w:eastAsia="Times New Roman" w:hAnsi="Times New Roman" w:cs="Times New Roman"/>
          <w:color w:val="1F1F1F"/>
          <w:sz w:val="20"/>
          <w:szCs w:val="20"/>
          <w:lang w:val="en-US" w:eastAsia="ru-RU"/>
        </w:rPr>
        <w:t>) measured from the neutral mid-plane along the thickness direction (</w:t>
      </w:r>
      <w:r w:rsidR="008976B9" w:rsidRPr="008976B9">
        <w:rPr>
          <w:position w:val="-6"/>
        </w:rPr>
        <w:object w:dxaOrig="1600" w:dyaOrig="279">
          <v:shape id="_x0000_i1026" type="#_x0000_t75" style="width:79.85pt;height:13.85pt" o:ole="">
            <v:imagedata r:id="rId7" o:title=""/>
          </v:shape>
          <o:OLEObject Type="Embed" ProgID="Equation.DSMT4" ShapeID="_x0000_i1026" DrawAspect="Content" ObjectID="_1846698126" r:id="rId8"/>
        </w:object>
      </w:r>
      <w:r w:rsidRPr="0045188C">
        <w:rPr>
          <w:rFonts w:ascii="Times New Roman" w:eastAsia="Times New Roman" w:hAnsi="Times New Roman" w:cs="Times New Roman"/>
          <w:color w:val="1F1F1F"/>
          <w:sz w:val="20"/>
          <w:szCs w:val="20"/>
          <w:lang w:val="en-US" w:eastAsia="ru-RU"/>
        </w:rPr>
        <w:t xml:space="preserve">) and explicitly defined the biharmonic operator </w:t>
      </w:r>
      <w:r w:rsidR="008976B9" w:rsidRPr="008976B9">
        <w:rPr>
          <w:position w:val="-6"/>
        </w:rPr>
        <w:object w:dxaOrig="320" w:dyaOrig="320">
          <v:shape id="_x0000_i1027" type="#_x0000_t75" style="width:16.15pt;height:16.15pt" o:ole="">
            <v:imagedata r:id="rId9" o:title=""/>
          </v:shape>
          <o:OLEObject Type="Embed" ProgID="Equation.DSMT4" ShapeID="_x0000_i1027" DrawAspect="Content" ObjectID="_1846698127" r:id="rId10"/>
        </w:object>
      </w:r>
      <w:r w:rsidRPr="0045188C">
        <w:rPr>
          <w:rFonts w:ascii="Times New Roman" w:eastAsia="Times New Roman" w:hAnsi="Times New Roman" w:cs="Times New Roman"/>
          <w:color w:val="1F1F1F"/>
          <w:sz w:val="20"/>
          <w:szCs w:val="20"/>
          <w:lang w:val="en-US" w:eastAsia="ru-RU"/>
        </w:rPr>
        <w:t xml:space="preserve"> governing the transverse deflection field following Equation (2).</w:t>
      </w:r>
    </w:p>
    <w:p w:rsidR="0045188C" w:rsidRPr="0045188C" w:rsidRDefault="0045188C" w:rsidP="0045188C">
      <w:pPr>
        <w:numPr>
          <w:ilvl w:val="0"/>
          <w:numId w:val="4"/>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Visuals &amp; Figure Clarity:</w:t>
      </w:r>
      <w:r w:rsidRPr="0045188C">
        <w:rPr>
          <w:rFonts w:ascii="Times New Roman" w:eastAsia="Times New Roman" w:hAnsi="Times New Roman" w:cs="Times New Roman"/>
          <w:color w:val="1F1F1F"/>
          <w:sz w:val="20"/>
          <w:szCs w:val="20"/>
          <w:lang w:val="en-US" w:eastAsia="ru-RU"/>
        </w:rPr>
        <w:t xml:space="preserve"> Figures 4 and 5 have been updated with larger, highly legible fonts for axis labels and numerical ticks. Detailed descriptions of the color scales (legends) indicating stress and displacement intensities have been added to the captions of Figures 2 and 3.</w:t>
      </w:r>
    </w:p>
    <w:p w:rsidR="0045188C" w:rsidRPr="0045188C" w:rsidRDefault="0045188C" w:rsidP="0045188C">
      <w:pPr>
        <w:numPr>
          <w:ilvl w:val="0"/>
          <w:numId w:val="4"/>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Discussion of Damping &amp; Sampling:</w:t>
      </w:r>
      <w:r w:rsidRPr="0045188C">
        <w:rPr>
          <w:rFonts w:ascii="Times New Roman" w:eastAsia="Times New Roman" w:hAnsi="Times New Roman" w:cs="Times New Roman"/>
          <w:color w:val="1F1F1F"/>
          <w:sz w:val="20"/>
          <w:szCs w:val="20"/>
          <w:lang w:val="en-US" w:eastAsia="ru-RU"/>
        </w:rPr>
        <w:t xml:space="preserve"> We expanded the narrative in Section 3 to explicitly discuss Figure 4 (stress damping response) and provided a clear justification for selecting the dynamic monitoring duration (</w:t>
      </w:r>
      <w:r w:rsidR="008976B9" w:rsidRPr="008976B9">
        <w:rPr>
          <w:position w:val="-6"/>
        </w:rPr>
        <w:object w:dxaOrig="960" w:dyaOrig="279">
          <v:shape id="_x0000_i1028" type="#_x0000_t75" style="width:48pt;height:13.85pt" o:ole="">
            <v:imagedata r:id="rId11" o:title=""/>
          </v:shape>
          <o:OLEObject Type="Embed" ProgID="Equation.DSMT4" ShapeID="_x0000_i1028" DrawAspect="Content" ObjectID="_1846698128" r:id="rId12"/>
        </w:object>
      </w:r>
      <w:r w:rsidRPr="0045188C">
        <w:rPr>
          <w:rFonts w:ascii="Times New Roman" w:eastAsia="Times New Roman" w:hAnsi="Times New Roman" w:cs="Times New Roman"/>
          <w:color w:val="1F1F1F"/>
          <w:sz w:val="20"/>
          <w:szCs w:val="20"/>
          <w:lang w:val="en-US" w:eastAsia="ru-RU"/>
        </w:rPr>
        <w:t>) to capture the complete transient response phase.</w:t>
      </w:r>
    </w:p>
    <w:p w:rsidR="0045188C" w:rsidRPr="0045188C" w:rsidRDefault="0045188C" w:rsidP="0045188C">
      <w:pPr>
        <w:numPr>
          <w:ilvl w:val="0"/>
          <w:numId w:val="4"/>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References:</w:t>
      </w:r>
      <w:r w:rsidRPr="0045188C">
        <w:rPr>
          <w:rFonts w:ascii="Times New Roman" w:eastAsia="Times New Roman" w:hAnsi="Times New Roman" w:cs="Times New Roman"/>
          <w:color w:val="1F1F1F"/>
          <w:sz w:val="20"/>
          <w:szCs w:val="20"/>
          <w:lang w:val="en-US" w:eastAsia="ru-RU"/>
        </w:rPr>
        <w:t xml:space="preserve"> The bibliography has been fully standardized to conform strictly with the CET Harvard reference style, and citations in the main text have been updated accordingly.</w:t>
      </w:r>
    </w:p>
    <w:p w:rsidR="0045188C" w:rsidRPr="0045188C" w:rsidRDefault="0045188C" w:rsidP="0045188C">
      <w:pPr>
        <w:spacing w:after="0" w:line="240" w:lineRule="auto"/>
        <w:jc w:val="both"/>
        <w:outlineLvl w:val="2"/>
        <w:rPr>
          <w:rFonts w:ascii="Times New Roman" w:eastAsia="Times New Roman" w:hAnsi="Times New Roman" w:cs="Times New Roman"/>
          <w:b/>
          <w:bCs/>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Specific Responses to Reviewer Comments:</w:t>
      </w:r>
    </w:p>
    <w:p w:rsidR="0045188C" w:rsidRPr="0045188C" w:rsidRDefault="0045188C" w:rsidP="0045188C">
      <w:pPr>
        <w:spacing w:after="0" w:line="240" w:lineRule="auto"/>
        <w:jc w:val="both"/>
        <w:outlineLvl w:val="3"/>
        <w:rPr>
          <w:rFonts w:ascii="Times New Roman" w:eastAsia="Times New Roman" w:hAnsi="Times New Roman" w:cs="Times New Roman"/>
          <w:b/>
          <w:bCs/>
          <w:color w:val="1F1F1F"/>
          <w:sz w:val="20"/>
          <w:szCs w:val="20"/>
          <w:lang w:eastAsia="ru-RU"/>
        </w:rPr>
      </w:pPr>
      <w:r w:rsidRPr="0045188C">
        <w:rPr>
          <w:rFonts w:ascii="Times New Roman" w:eastAsia="Times New Roman" w:hAnsi="Times New Roman" w:cs="Times New Roman"/>
          <w:b/>
          <w:bCs/>
          <w:color w:val="1F1F1F"/>
          <w:sz w:val="20"/>
          <w:szCs w:val="20"/>
          <w:bdr w:val="none" w:sz="0" w:space="0" w:color="auto" w:frame="1"/>
          <w:lang w:eastAsia="ru-RU"/>
        </w:rPr>
        <w:t>Reviewer #1:</w:t>
      </w:r>
    </w:p>
    <w:p w:rsidR="0045188C" w:rsidRPr="0045188C" w:rsidRDefault="0045188C" w:rsidP="0045188C">
      <w:pPr>
        <w:numPr>
          <w:ilvl w:val="0"/>
          <w:numId w:val="5"/>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Comment 1:</w:t>
      </w:r>
      <w:r w:rsidRPr="0045188C">
        <w:rPr>
          <w:rFonts w:ascii="Times New Roman" w:eastAsia="Times New Roman" w:hAnsi="Times New Roman" w:cs="Times New Roman"/>
          <w:color w:val="1F1F1F"/>
          <w:sz w:val="20"/>
          <w:szCs w:val="20"/>
          <w:lang w:val="en-US" w:eastAsia="ru-RU"/>
        </w:rPr>
        <w:t xml:space="preserve"> Clarification of governing equations, equation numbering, and physical parameters in Section 2.</w:t>
      </w:r>
    </w:p>
    <w:p w:rsidR="0045188C" w:rsidRPr="0045188C" w:rsidRDefault="0045188C" w:rsidP="0045188C">
      <w:pPr>
        <w:numPr>
          <w:ilvl w:val="1"/>
          <w:numId w:val="5"/>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Response:</w:t>
      </w:r>
      <w:r w:rsidRPr="0045188C">
        <w:rPr>
          <w:rFonts w:ascii="Times New Roman" w:eastAsia="Times New Roman" w:hAnsi="Times New Roman" w:cs="Times New Roman"/>
          <w:color w:val="1F1F1F"/>
          <w:sz w:val="20"/>
          <w:szCs w:val="20"/>
          <w:lang w:val="en-US" w:eastAsia="ru-RU"/>
        </w:rPr>
        <w:t xml:space="preserve"> Equations have been systematically numbered (Equations 1–4). We have updated the text directly following Equation (2) to explicitly define </w:t>
      </w:r>
      <w:r w:rsidR="008976B9" w:rsidRPr="00025957">
        <w:rPr>
          <w:position w:val="-4"/>
        </w:rPr>
        <w:object w:dxaOrig="200" w:dyaOrig="200">
          <v:shape id="_x0000_i1029" type="#_x0000_t75" style="width:10.15pt;height:10.15pt" o:ole="">
            <v:imagedata r:id="rId13" o:title=""/>
          </v:shape>
          <o:OLEObject Type="Embed" ProgID="Equation.DSMT4" ShapeID="_x0000_i1029" DrawAspect="Content" ObjectID="_1846698129" r:id="rId14"/>
        </w:object>
      </w:r>
      <w:r w:rsidRPr="0045188C">
        <w:rPr>
          <w:rFonts w:ascii="Times New Roman" w:eastAsia="Times New Roman" w:hAnsi="Times New Roman" w:cs="Times New Roman"/>
          <w:color w:val="1F1F1F"/>
          <w:sz w:val="20"/>
          <w:szCs w:val="20"/>
          <w:lang w:val="en-US" w:eastAsia="ru-RU"/>
        </w:rPr>
        <w:t xml:space="preserve"> as the transverse coordinate measured from the neutral mid-plane and provided the full differential form of the biharmonic operator </w:t>
      </w:r>
      <w:r w:rsidR="008976B9" w:rsidRPr="008976B9">
        <w:rPr>
          <w:position w:val="-6"/>
        </w:rPr>
        <w:object w:dxaOrig="320" w:dyaOrig="320">
          <v:shape id="_x0000_i1030" type="#_x0000_t75" style="width:16.15pt;height:16.15pt" o:ole="">
            <v:imagedata r:id="rId15" o:title=""/>
          </v:shape>
          <o:OLEObject Type="Embed" ProgID="Equation.DSMT4" ShapeID="_x0000_i1030" DrawAspect="Content" ObjectID="_1846698130" r:id="rId16"/>
        </w:object>
      </w:r>
      <w:r w:rsidRPr="0045188C">
        <w:rPr>
          <w:rFonts w:ascii="Times New Roman" w:eastAsia="Times New Roman" w:hAnsi="Times New Roman" w:cs="Times New Roman"/>
          <w:color w:val="1F1F1F"/>
          <w:sz w:val="20"/>
          <w:szCs w:val="20"/>
          <w:lang w:val="en-US" w:eastAsia="ru-RU"/>
        </w:rPr>
        <w:t>.</w:t>
      </w:r>
    </w:p>
    <w:p w:rsidR="0045188C" w:rsidRPr="0045188C" w:rsidRDefault="0045188C" w:rsidP="0045188C">
      <w:pPr>
        <w:numPr>
          <w:ilvl w:val="0"/>
          <w:numId w:val="5"/>
        </w:numPr>
        <w:spacing w:after="0" w:line="240" w:lineRule="auto"/>
        <w:ind w:left="0"/>
        <w:jc w:val="both"/>
        <w:rPr>
          <w:rFonts w:ascii="Times New Roman" w:eastAsia="Times New Roman" w:hAnsi="Times New Roman" w:cs="Times New Roman"/>
          <w:color w:val="1F1F1F"/>
          <w:sz w:val="20"/>
          <w:szCs w:val="20"/>
          <w:lang w:eastAsia="ru-RU"/>
        </w:rPr>
      </w:pPr>
      <w:r w:rsidRPr="0045188C">
        <w:rPr>
          <w:rFonts w:ascii="Times New Roman" w:eastAsia="Times New Roman" w:hAnsi="Times New Roman" w:cs="Times New Roman"/>
          <w:b/>
          <w:bCs/>
          <w:color w:val="1F1F1F"/>
          <w:sz w:val="20"/>
          <w:szCs w:val="20"/>
          <w:bdr w:val="none" w:sz="0" w:space="0" w:color="auto" w:frame="1"/>
          <w:lang w:eastAsia="ru-RU"/>
        </w:rPr>
        <w:t>Comment 2:</w:t>
      </w:r>
      <w:r w:rsidRPr="0045188C">
        <w:rPr>
          <w:rFonts w:ascii="Times New Roman" w:eastAsia="Times New Roman" w:hAnsi="Times New Roman" w:cs="Times New Roman"/>
          <w:color w:val="1F1F1F"/>
          <w:sz w:val="20"/>
          <w:szCs w:val="20"/>
          <w:lang w:eastAsia="ru-RU"/>
        </w:rPr>
        <w:t xml:space="preserve"> References formatting consistency.</w:t>
      </w:r>
    </w:p>
    <w:p w:rsidR="0045188C" w:rsidRPr="0045188C" w:rsidRDefault="0045188C" w:rsidP="0045188C">
      <w:pPr>
        <w:numPr>
          <w:ilvl w:val="1"/>
          <w:numId w:val="5"/>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Response:</w:t>
      </w:r>
      <w:r w:rsidRPr="0045188C">
        <w:rPr>
          <w:rFonts w:ascii="Times New Roman" w:eastAsia="Times New Roman" w:hAnsi="Times New Roman" w:cs="Times New Roman"/>
          <w:color w:val="1F1F1F"/>
          <w:sz w:val="20"/>
          <w:szCs w:val="20"/>
          <w:lang w:val="en-US" w:eastAsia="ru-RU"/>
        </w:rPr>
        <w:t xml:space="preserve"> All reference entries have been reformatted into the journal's standard Harvard citation style, with numbered tags replaced by author-year in-text citations.</w:t>
      </w:r>
    </w:p>
    <w:p w:rsidR="0045188C" w:rsidRPr="0045188C" w:rsidRDefault="0045188C" w:rsidP="0045188C">
      <w:pPr>
        <w:spacing w:after="0" w:line="240" w:lineRule="auto"/>
        <w:jc w:val="both"/>
        <w:outlineLvl w:val="3"/>
        <w:rPr>
          <w:rFonts w:ascii="Times New Roman" w:eastAsia="Times New Roman" w:hAnsi="Times New Roman" w:cs="Times New Roman"/>
          <w:b/>
          <w:bCs/>
          <w:color w:val="1F1F1F"/>
          <w:sz w:val="20"/>
          <w:szCs w:val="20"/>
          <w:lang w:eastAsia="ru-RU"/>
        </w:rPr>
      </w:pPr>
      <w:r w:rsidRPr="0045188C">
        <w:rPr>
          <w:rFonts w:ascii="Times New Roman" w:eastAsia="Times New Roman" w:hAnsi="Times New Roman" w:cs="Times New Roman"/>
          <w:b/>
          <w:bCs/>
          <w:color w:val="1F1F1F"/>
          <w:sz w:val="20"/>
          <w:szCs w:val="20"/>
          <w:bdr w:val="none" w:sz="0" w:space="0" w:color="auto" w:frame="1"/>
          <w:lang w:eastAsia="ru-RU"/>
        </w:rPr>
        <w:t>Reviewer #2:</w:t>
      </w:r>
    </w:p>
    <w:p w:rsidR="0045188C" w:rsidRPr="0045188C" w:rsidRDefault="0045188C" w:rsidP="0045188C">
      <w:pPr>
        <w:numPr>
          <w:ilvl w:val="0"/>
          <w:numId w:val="6"/>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Comment 3:</w:t>
      </w:r>
      <w:r w:rsidRPr="0045188C">
        <w:rPr>
          <w:rFonts w:ascii="Times New Roman" w:eastAsia="Times New Roman" w:hAnsi="Times New Roman" w:cs="Times New Roman"/>
          <w:color w:val="1F1F1F"/>
          <w:sz w:val="20"/>
          <w:szCs w:val="20"/>
          <w:lang w:val="en-US" w:eastAsia="ru-RU"/>
        </w:rPr>
        <w:t xml:space="preserve"> Figures 4 and 5 font size and clarity.</w:t>
      </w:r>
    </w:p>
    <w:p w:rsidR="0045188C" w:rsidRPr="0045188C" w:rsidRDefault="0045188C" w:rsidP="0045188C">
      <w:pPr>
        <w:numPr>
          <w:ilvl w:val="1"/>
          <w:numId w:val="6"/>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Response:</w:t>
      </w:r>
      <w:r w:rsidRPr="0045188C">
        <w:rPr>
          <w:rFonts w:ascii="Times New Roman" w:eastAsia="Times New Roman" w:hAnsi="Times New Roman" w:cs="Times New Roman"/>
          <w:color w:val="1F1F1F"/>
          <w:sz w:val="20"/>
          <w:szCs w:val="20"/>
          <w:lang w:val="en-US" w:eastAsia="ru-RU"/>
        </w:rPr>
        <w:t xml:space="preserve"> Figures 4 and 5 were re-rendered with significantly larger axis labels and tick numbers to ensure complete legibility.</w:t>
      </w:r>
    </w:p>
    <w:p w:rsidR="0045188C" w:rsidRPr="0045188C" w:rsidRDefault="0045188C" w:rsidP="0045188C">
      <w:pPr>
        <w:numPr>
          <w:ilvl w:val="0"/>
          <w:numId w:val="6"/>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Comment 4:</w:t>
      </w:r>
      <w:r w:rsidRPr="0045188C">
        <w:rPr>
          <w:rFonts w:ascii="Times New Roman" w:eastAsia="Times New Roman" w:hAnsi="Times New Roman" w:cs="Times New Roman"/>
          <w:color w:val="1F1F1F"/>
          <w:sz w:val="20"/>
          <w:szCs w:val="20"/>
          <w:lang w:val="en-US" w:eastAsia="ru-RU"/>
        </w:rPr>
        <w:t xml:space="preserve"> Lack of color scale/legend descriptions for Figures 2 and 3.</w:t>
      </w:r>
    </w:p>
    <w:p w:rsidR="0045188C" w:rsidRPr="0045188C" w:rsidRDefault="0045188C" w:rsidP="0045188C">
      <w:pPr>
        <w:numPr>
          <w:ilvl w:val="1"/>
          <w:numId w:val="6"/>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Response:</w:t>
      </w:r>
      <w:r w:rsidRPr="0045188C">
        <w:rPr>
          <w:rFonts w:ascii="Times New Roman" w:eastAsia="Times New Roman" w:hAnsi="Times New Roman" w:cs="Times New Roman"/>
          <w:color w:val="1F1F1F"/>
          <w:sz w:val="20"/>
          <w:szCs w:val="20"/>
          <w:lang w:val="en-US" w:eastAsia="ru-RU"/>
        </w:rPr>
        <w:t xml:space="preserve"> We updated the figure captions for Figures 2 and 3 to clearly state the value ranges represented by the color scale (from blue indicating minimum/zero values to red representing peak values).</w:t>
      </w:r>
    </w:p>
    <w:p w:rsidR="0045188C" w:rsidRPr="0045188C" w:rsidRDefault="0045188C" w:rsidP="0045188C">
      <w:pPr>
        <w:numPr>
          <w:ilvl w:val="0"/>
          <w:numId w:val="6"/>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Comment 5:</w:t>
      </w:r>
      <w:r w:rsidRPr="0045188C">
        <w:rPr>
          <w:rFonts w:ascii="Times New Roman" w:eastAsia="Times New Roman" w:hAnsi="Times New Roman" w:cs="Times New Roman"/>
          <w:color w:val="1F1F1F"/>
          <w:sz w:val="20"/>
          <w:szCs w:val="20"/>
          <w:lang w:val="en-US" w:eastAsia="ru-RU"/>
        </w:rPr>
        <w:t xml:space="preserve"> Sampling duration (</w:t>
      </w:r>
      <w:r w:rsidR="008976B9" w:rsidRPr="008976B9">
        <w:rPr>
          <w:position w:val="-6"/>
        </w:rPr>
        <w:object w:dxaOrig="960" w:dyaOrig="279">
          <v:shape id="_x0000_i1031" type="#_x0000_t75" style="width:48pt;height:13.85pt" o:ole="">
            <v:imagedata r:id="rId11" o:title=""/>
          </v:shape>
          <o:OLEObject Type="Embed" ProgID="Equation.DSMT4" ShapeID="_x0000_i1031" DrawAspect="Content" ObjectID="_1846698131" r:id="rId17"/>
        </w:object>
      </w:r>
      <w:r w:rsidRPr="0045188C">
        <w:rPr>
          <w:rFonts w:ascii="Times New Roman" w:eastAsia="Times New Roman" w:hAnsi="Times New Roman" w:cs="Times New Roman"/>
          <w:color w:val="1F1F1F"/>
          <w:sz w:val="20"/>
          <w:szCs w:val="20"/>
          <w:lang w:val="en-US" w:eastAsia="ru-RU"/>
        </w:rPr>
        <w:t>) justification and Figure 4 discussion.</w:t>
      </w:r>
    </w:p>
    <w:p w:rsidR="0045188C" w:rsidRPr="0045188C" w:rsidRDefault="0045188C" w:rsidP="0045188C">
      <w:pPr>
        <w:numPr>
          <w:ilvl w:val="1"/>
          <w:numId w:val="6"/>
        </w:numPr>
        <w:spacing w:after="0" w:line="240" w:lineRule="auto"/>
        <w:ind w:left="0"/>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Response:</w:t>
      </w:r>
      <w:r w:rsidRPr="0045188C">
        <w:rPr>
          <w:rFonts w:ascii="Times New Roman" w:eastAsia="Times New Roman" w:hAnsi="Times New Roman" w:cs="Times New Roman"/>
          <w:color w:val="1F1F1F"/>
          <w:sz w:val="20"/>
          <w:szCs w:val="20"/>
          <w:lang w:val="en-US" w:eastAsia="ru-RU"/>
        </w:rPr>
        <w:t xml:space="preserve"> Additional text was incorporated into the Results section explaining that the </w:t>
      </w:r>
      <w:r w:rsidR="008976B9" w:rsidRPr="008976B9">
        <w:rPr>
          <w:position w:val="-6"/>
        </w:rPr>
        <w:object w:dxaOrig="960" w:dyaOrig="279">
          <v:shape id="_x0000_i1032" type="#_x0000_t75" style="width:48pt;height:13.85pt" o:ole="">
            <v:imagedata r:id="rId11" o:title=""/>
          </v:shape>
          <o:OLEObject Type="Embed" ProgID="Equation.DSMT4" ShapeID="_x0000_i1032" DrawAspect="Content" ObjectID="_1846698132" r:id="rId18"/>
        </w:object>
      </w:r>
      <w:r w:rsidRPr="0045188C">
        <w:rPr>
          <w:rFonts w:ascii="Times New Roman" w:eastAsia="Times New Roman" w:hAnsi="Times New Roman" w:cs="Times New Roman"/>
          <w:color w:val="1F1F1F"/>
          <w:sz w:val="20"/>
          <w:szCs w:val="20"/>
          <w:lang w:val="en-US" w:eastAsia="ru-RU"/>
        </w:rPr>
        <w:t xml:space="preserve"> window covers both the initial shock wave and subsequent complete attenuation, alongside a thorough analysis of Figure 4.</w:t>
      </w:r>
    </w:p>
    <w:p w:rsidR="0045188C" w:rsidRPr="0045188C" w:rsidRDefault="0045188C" w:rsidP="0045188C">
      <w:pPr>
        <w:spacing w:after="0" w:line="240" w:lineRule="auto"/>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color w:val="1F1F1F"/>
          <w:sz w:val="20"/>
          <w:szCs w:val="20"/>
          <w:lang w:val="en-US" w:eastAsia="ru-RU"/>
        </w:rPr>
        <w:t xml:space="preserve">We hope these comprehensive revisions meet all requirements, and we look forward to the potential publication of our work in </w:t>
      </w:r>
      <w:r w:rsidRPr="0045188C">
        <w:rPr>
          <w:rFonts w:ascii="Times New Roman" w:eastAsia="Times New Roman" w:hAnsi="Times New Roman" w:cs="Times New Roman"/>
          <w:i/>
          <w:iCs/>
          <w:color w:val="1F1F1F"/>
          <w:sz w:val="20"/>
          <w:szCs w:val="20"/>
          <w:bdr w:val="none" w:sz="0" w:space="0" w:color="auto" w:frame="1"/>
          <w:lang w:val="en-US" w:eastAsia="ru-RU"/>
        </w:rPr>
        <w:t>Chemical Engineering Transactions</w:t>
      </w:r>
      <w:r w:rsidRPr="0045188C">
        <w:rPr>
          <w:rFonts w:ascii="Times New Roman" w:eastAsia="Times New Roman" w:hAnsi="Times New Roman" w:cs="Times New Roman"/>
          <w:color w:val="1F1F1F"/>
          <w:sz w:val="20"/>
          <w:szCs w:val="20"/>
          <w:lang w:val="en-US" w:eastAsia="ru-RU"/>
        </w:rPr>
        <w:t>.</w:t>
      </w:r>
    </w:p>
    <w:p w:rsidR="0045188C" w:rsidRPr="0045188C" w:rsidRDefault="0045188C" w:rsidP="0045188C">
      <w:pPr>
        <w:spacing w:after="0" w:line="240" w:lineRule="auto"/>
        <w:jc w:val="both"/>
        <w:rPr>
          <w:rFonts w:ascii="Times New Roman" w:eastAsia="Times New Roman" w:hAnsi="Times New Roman" w:cs="Times New Roman"/>
          <w:color w:val="1F1F1F"/>
          <w:sz w:val="20"/>
          <w:szCs w:val="20"/>
          <w:lang w:val="en-US" w:eastAsia="ru-RU"/>
        </w:rPr>
      </w:pPr>
      <w:r w:rsidRPr="0045188C">
        <w:rPr>
          <w:rFonts w:ascii="Times New Roman" w:eastAsia="Times New Roman" w:hAnsi="Times New Roman" w:cs="Times New Roman"/>
          <w:color w:val="1F1F1F"/>
          <w:sz w:val="20"/>
          <w:szCs w:val="20"/>
          <w:lang w:val="en-US" w:eastAsia="ru-RU"/>
        </w:rPr>
        <w:t>Sincerely,</w:t>
      </w:r>
    </w:p>
    <w:p w:rsidR="0045188C" w:rsidRDefault="0045188C" w:rsidP="0045188C">
      <w:pPr>
        <w:spacing w:after="0" w:line="240" w:lineRule="auto"/>
        <w:jc w:val="both"/>
        <w:rPr>
          <w:rFonts w:ascii="Times New Roman" w:eastAsia="Times New Roman" w:hAnsi="Times New Roman" w:cs="Times New Roman"/>
          <w:b/>
          <w:bCs/>
          <w:color w:val="1F1F1F"/>
          <w:sz w:val="20"/>
          <w:szCs w:val="20"/>
          <w:bdr w:val="none" w:sz="0" w:space="0" w:color="auto" w:frame="1"/>
          <w:lang w:val="en-US" w:eastAsia="ru-RU"/>
        </w:rPr>
      </w:pPr>
      <w:r w:rsidRPr="0045188C">
        <w:rPr>
          <w:rFonts w:ascii="Times New Roman" w:eastAsia="Times New Roman" w:hAnsi="Times New Roman" w:cs="Times New Roman"/>
          <w:b/>
          <w:bCs/>
          <w:color w:val="1F1F1F"/>
          <w:sz w:val="20"/>
          <w:szCs w:val="20"/>
          <w:bdr w:val="none" w:sz="0" w:space="0" w:color="auto" w:frame="1"/>
          <w:lang w:val="en-US" w:eastAsia="ru-RU"/>
        </w:rPr>
        <w:t>The Authors</w:t>
      </w:r>
    </w:p>
    <w:p w:rsidR="008976B9" w:rsidRDefault="008976B9">
      <w:pPr>
        <w:rPr>
          <w:rFonts w:ascii="Times New Roman" w:eastAsia="Times New Roman" w:hAnsi="Times New Roman" w:cs="Times New Roman"/>
          <w:b/>
          <w:bCs/>
          <w:color w:val="1F1F1F"/>
          <w:sz w:val="20"/>
          <w:szCs w:val="20"/>
          <w:bdr w:val="none" w:sz="0" w:space="0" w:color="auto" w:frame="1"/>
          <w:lang w:val="en-US" w:eastAsia="ru-RU"/>
        </w:rPr>
      </w:pPr>
      <w:r>
        <w:rPr>
          <w:rFonts w:ascii="Times New Roman" w:eastAsia="Times New Roman" w:hAnsi="Times New Roman" w:cs="Times New Roman"/>
          <w:b/>
          <w:bCs/>
          <w:color w:val="1F1F1F"/>
          <w:sz w:val="20"/>
          <w:szCs w:val="20"/>
          <w:bdr w:val="none" w:sz="0" w:space="0" w:color="auto" w:frame="1"/>
          <w:lang w:val="en-US" w:eastAsia="ru-RU"/>
        </w:rPr>
        <w:br w:type="page"/>
      </w:r>
    </w:p>
    <w:p w:rsidR="002D2D99" w:rsidRPr="009A6D98" w:rsidRDefault="009A6D98" w:rsidP="009A6D98">
      <w:pPr>
        <w:jc w:val="center"/>
        <w:rPr>
          <w:rFonts w:ascii="Times New Roman" w:hAnsi="Times New Roman" w:cs="Times New Roman"/>
          <w:b/>
          <w:lang w:val="en-US" w:eastAsia="ru-RU"/>
        </w:rPr>
      </w:pPr>
      <w:r w:rsidRPr="009A6D98">
        <w:rPr>
          <w:rFonts w:ascii="Times New Roman" w:hAnsi="Times New Roman" w:cs="Times New Roman"/>
          <w:b/>
          <w:lang w:val="en-US" w:eastAsia="ru-RU"/>
        </w:rPr>
        <w:lastRenderedPageBreak/>
        <w:t>Analysis</w:t>
      </w:r>
      <w:r>
        <w:rPr>
          <w:rFonts w:ascii="Times New Roman" w:hAnsi="Times New Roman" w:cs="Times New Roman"/>
          <w:b/>
          <w:lang w:val="en-US" w:eastAsia="ru-RU"/>
        </w:rPr>
        <w:t xml:space="preserve"> </w:t>
      </w:r>
      <w:r w:rsidRPr="009A6D98">
        <w:rPr>
          <w:rFonts w:ascii="Times New Roman" w:hAnsi="Times New Roman" w:cs="Times New Roman"/>
          <w:b/>
          <w:lang w:val="en-US" w:eastAsia="ru-RU"/>
        </w:rPr>
        <w:t>of dynamic response and energy absorption of three-layer aluminum-polymer sandwich panels for uav structures</w:t>
      </w:r>
    </w:p>
    <w:p w:rsidR="002D2D99" w:rsidRPr="009D71C9" w:rsidRDefault="002D2D99" w:rsidP="006907CD">
      <w:pPr>
        <w:spacing w:after="0" w:line="240" w:lineRule="auto"/>
        <w:jc w:val="both"/>
        <w:rPr>
          <w:rFonts w:ascii="Times New Roman" w:eastAsia="Times New Roman" w:hAnsi="Times New Roman" w:cs="Times New Roman"/>
          <w:b/>
          <w:sz w:val="20"/>
          <w:szCs w:val="20"/>
          <w:lang w:val="en-US" w:eastAsia="ru-RU"/>
        </w:rPr>
      </w:pPr>
      <w:r w:rsidRPr="009D71C9">
        <w:rPr>
          <w:rFonts w:ascii="Times New Roman" w:eastAsia="Times New Roman" w:hAnsi="Times New Roman" w:cs="Times New Roman"/>
          <w:b/>
          <w:i/>
          <w:iCs/>
          <w:sz w:val="20"/>
          <w:szCs w:val="20"/>
          <w:lang w:val="en-US" w:eastAsia="ru-RU"/>
        </w:rPr>
        <w:t>U. Urolov</w:t>
      </w:r>
      <w:r w:rsidRPr="009D71C9">
        <w:rPr>
          <w:rFonts w:ascii="Times New Roman" w:hAnsi="Times New Roman" w:cs="Times New Roman"/>
          <w:b/>
          <w:position w:val="-4"/>
          <w:sz w:val="20"/>
          <w:szCs w:val="20"/>
        </w:rPr>
        <w:object w:dxaOrig="160" w:dyaOrig="300">
          <v:shape id="_x0000_i1033" type="#_x0000_t75" style="width:7.85pt;height:15.25pt" o:ole="">
            <v:imagedata r:id="rId19" o:title=""/>
          </v:shape>
          <o:OLEObject Type="Embed" ProgID="Equation.DSMT4" ShapeID="_x0000_i1033" DrawAspect="Content" ObjectID="_1846698133" r:id="rId20"/>
        </w:object>
      </w:r>
      <w:r w:rsidRPr="009D71C9">
        <w:rPr>
          <w:rFonts w:ascii="Times New Roman" w:eastAsia="Times New Roman" w:hAnsi="Times New Roman" w:cs="Times New Roman"/>
          <w:b/>
          <w:i/>
          <w:iCs/>
          <w:sz w:val="20"/>
          <w:szCs w:val="20"/>
          <w:lang w:val="en-US" w:eastAsia="ru-RU"/>
        </w:rPr>
        <w:t>, B. Usmonov</w:t>
      </w:r>
      <w:r w:rsidRPr="009D71C9">
        <w:rPr>
          <w:rFonts w:ascii="Times New Roman" w:hAnsi="Times New Roman" w:cs="Times New Roman"/>
          <w:b/>
          <w:position w:val="-4"/>
          <w:sz w:val="20"/>
          <w:szCs w:val="20"/>
        </w:rPr>
        <w:object w:dxaOrig="160" w:dyaOrig="300">
          <v:shape id="_x0000_i1034" type="#_x0000_t75" style="width:7.85pt;height:15.25pt" o:ole="">
            <v:imagedata r:id="rId21" o:title=""/>
          </v:shape>
          <o:OLEObject Type="Embed" ProgID="Equation.DSMT4" ShapeID="_x0000_i1034" DrawAspect="Content" ObjectID="_1846698134" r:id="rId22"/>
        </w:object>
      </w:r>
      <w:r w:rsidRPr="009D71C9">
        <w:rPr>
          <w:rFonts w:ascii="Times New Roman" w:eastAsia="Times New Roman" w:hAnsi="Times New Roman" w:cs="Times New Roman"/>
          <w:b/>
          <w:i/>
          <w:iCs/>
          <w:sz w:val="20"/>
          <w:szCs w:val="20"/>
          <w:lang w:val="en-US" w:eastAsia="ru-RU"/>
        </w:rPr>
        <w:t>, I. Safarov</w:t>
      </w:r>
      <w:r w:rsidRPr="009D71C9">
        <w:rPr>
          <w:rFonts w:ascii="Times New Roman" w:hAnsi="Times New Roman" w:cs="Times New Roman"/>
          <w:b/>
          <w:position w:val="-4"/>
          <w:sz w:val="20"/>
          <w:szCs w:val="20"/>
        </w:rPr>
        <w:object w:dxaOrig="160" w:dyaOrig="300">
          <v:shape id="_x0000_i1035" type="#_x0000_t75" style="width:7.85pt;height:15.25pt" o:ole="">
            <v:imagedata r:id="rId23" o:title=""/>
          </v:shape>
          <o:OLEObject Type="Embed" ProgID="Equation.DSMT4" ShapeID="_x0000_i1035" DrawAspect="Content" ObjectID="_1846698135" r:id="rId24"/>
        </w:object>
      </w:r>
      <w:r w:rsidRPr="009D71C9">
        <w:rPr>
          <w:rFonts w:ascii="Times New Roman" w:eastAsia="Times New Roman" w:hAnsi="Times New Roman" w:cs="Times New Roman"/>
          <w:b/>
          <w:i/>
          <w:iCs/>
          <w:sz w:val="20"/>
          <w:szCs w:val="20"/>
          <w:lang w:val="en-US" w:eastAsia="ru-RU"/>
        </w:rPr>
        <w:t>, M. Choriev</w:t>
      </w:r>
      <w:r w:rsidRPr="009D71C9">
        <w:rPr>
          <w:rFonts w:ascii="Times New Roman" w:hAnsi="Times New Roman" w:cs="Times New Roman"/>
          <w:b/>
          <w:position w:val="-4"/>
          <w:sz w:val="20"/>
          <w:szCs w:val="20"/>
        </w:rPr>
        <w:object w:dxaOrig="160" w:dyaOrig="300">
          <v:shape id="_x0000_i1036" type="#_x0000_t75" style="width:7.85pt;height:15.25pt" o:ole="">
            <v:imagedata r:id="rId25" o:title=""/>
          </v:shape>
          <o:OLEObject Type="Embed" ProgID="Equation.DSMT4" ShapeID="_x0000_i1036" DrawAspect="Content" ObjectID="_1846698136" r:id="rId26"/>
        </w:object>
      </w:r>
      <w:r w:rsidRPr="009D71C9">
        <w:rPr>
          <w:rFonts w:ascii="Times New Roman" w:eastAsia="Times New Roman" w:hAnsi="Times New Roman" w:cs="Times New Roman"/>
          <w:b/>
          <w:i/>
          <w:iCs/>
          <w:sz w:val="20"/>
          <w:szCs w:val="20"/>
          <w:lang w:val="en-US" w:eastAsia="ru-RU"/>
        </w:rPr>
        <w:t>, D. Makhmudova</w:t>
      </w:r>
      <w:r w:rsidRPr="009D71C9">
        <w:rPr>
          <w:rFonts w:ascii="Times New Roman" w:hAnsi="Times New Roman" w:cs="Times New Roman"/>
          <w:b/>
          <w:position w:val="-4"/>
          <w:sz w:val="20"/>
          <w:szCs w:val="20"/>
        </w:rPr>
        <w:object w:dxaOrig="139" w:dyaOrig="300">
          <v:shape id="_x0000_i1037" type="#_x0000_t75" style="width:6.9pt;height:15.25pt" o:ole="">
            <v:imagedata r:id="rId27" o:title=""/>
          </v:shape>
          <o:OLEObject Type="Embed" ProgID="Equation.DSMT4" ShapeID="_x0000_i1037" DrawAspect="Content" ObjectID="_1846698137" r:id="rId28"/>
        </w:object>
      </w:r>
      <w:r w:rsidRPr="009D71C9">
        <w:rPr>
          <w:rFonts w:ascii="Times New Roman" w:eastAsia="Times New Roman" w:hAnsi="Times New Roman" w:cs="Times New Roman"/>
          <w:b/>
          <w:i/>
          <w:iCs/>
          <w:sz w:val="20"/>
          <w:szCs w:val="20"/>
          <w:lang w:val="en-US" w:eastAsia="ru-RU"/>
        </w:rPr>
        <w:t>, U. Kurbanov</w:t>
      </w:r>
      <w:r w:rsidRPr="009D71C9">
        <w:rPr>
          <w:rFonts w:ascii="Times New Roman" w:hAnsi="Times New Roman" w:cs="Times New Roman"/>
          <w:b/>
          <w:position w:val="-4"/>
          <w:sz w:val="20"/>
          <w:szCs w:val="20"/>
        </w:rPr>
        <w:object w:dxaOrig="139" w:dyaOrig="300">
          <v:shape id="_x0000_i1038" type="#_x0000_t75" style="width:6.9pt;height:15.25pt" o:ole="">
            <v:imagedata r:id="rId29" o:title=""/>
          </v:shape>
          <o:OLEObject Type="Embed" ProgID="Equation.DSMT4" ShapeID="_x0000_i1038" DrawAspect="Content" ObjectID="_1846698138" r:id="rId30"/>
        </w:object>
      </w:r>
    </w:p>
    <w:p w:rsidR="002D2D99"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position w:val="-4"/>
          <w:sz w:val="20"/>
          <w:szCs w:val="20"/>
        </w:rPr>
        <w:object w:dxaOrig="160" w:dyaOrig="300">
          <v:shape id="_x0000_i1039" type="#_x0000_t75" style="width:7.85pt;height:15.25pt" o:ole="">
            <v:imagedata r:id="rId31" o:title=""/>
          </v:shape>
          <o:OLEObject Type="Embed" ProgID="Equation.DSMT4" ShapeID="_x0000_i1039" DrawAspect="Content" ObjectID="_1846698139" r:id="rId32"/>
        </w:object>
      </w:r>
      <w:r w:rsidR="002D2D99" w:rsidRPr="009D71C9">
        <w:rPr>
          <w:rFonts w:ascii="Times New Roman" w:eastAsia="Times New Roman" w:hAnsi="Times New Roman" w:cs="Times New Roman"/>
          <w:sz w:val="20"/>
          <w:szCs w:val="20"/>
          <w:lang w:val="en-US" w:eastAsia="ru-RU"/>
        </w:rPr>
        <w:t>Tashkent Institute of Chemical Technology, Navoiy St. 32, 100011, Tashkent, Uzbekistan</w:t>
      </w:r>
    </w:p>
    <w:p w:rsidR="002D2D99"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position w:val="-4"/>
          <w:sz w:val="20"/>
          <w:szCs w:val="20"/>
        </w:rPr>
        <w:object w:dxaOrig="139" w:dyaOrig="300">
          <v:shape id="_x0000_i1040" type="#_x0000_t75" style="width:6.9pt;height:15.25pt" o:ole="">
            <v:imagedata r:id="rId33" o:title=""/>
          </v:shape>
          <o:OLEObject Type="Embed" ProgID="Equation.DSMT4" ShapeID="_x0000_i1040" DrawAspect="Content" ObjectID="_1846698140" r:id="rId34"/>
        </w:object>
      </w:r>
      <w:r w:rsidR="002D2D99" w:rsidRPr="009D71C9">
        <w:rPr>
          <w:rFonts w:ascii="Times New Roman" w:eastAsia="Times New Roman" w:hAnsi="Times New Roman" w:cs="Times New Roman"/>
          <w:sz w:val="20"/>
          <w:szCs w:val="20"/>
          <w:lang w:val="en-US" w:eastAsia="ru-RU"/>
        </w:rPr>
        <w:t>Samarkand State University of Architecture and Civil Engineering, 70 Lolazor St., 140143, Samarkand, Uzbekistan</w:t>
      </w:r>
    </w:p>
    <w:p w:rsidR="002D2D99" w:rsidRPr="009D71C9" w:rsidRDefault="004C4455" w:rsidP="006907CD">
      <w:pPr>
        <w:spacing w:after="0" w:line="240" w:lineRule="auto"/>
        <w:jc w:val="both"/>
        <w:rPr>
          <w:rFonts w:ascii="Times New Roman" w:eastAsia="Times New Roman" w:hAnsi="Times New Roman" w:cs="Times New Roman"/>
          <w:sz w:val="20"/>
          <w:szCs w:val="20"/>
          <w:lang w:val="en-US" w:eastAsia="ru-RU"/>
        </w:rPr>
      </w:pPr>
      <w:hyperlink r:id="rId35" w:history="1">
        <w:r w:rsidR="007604E1" w:rsidRPr="009D71C9">
          <w:rPr>
            <w:rStyle w:val="a5"/>
            <w:rFonts w:ascii="Times New Roman" w:eastAsia="Times New Roman" w:hAnsi="Times New Roman" w:cs="Times New Roman"/>
            <w:sz w:val="20"/>
            <w:szCs w:val="20"/>
            <w:lang w:val="en-US" w:eastAsia="ru-RU"/>
          </w:rPr>
          <w:t>utkirbekurolov@mail.ru</w:t>
        </w:r>
      </w:hyperlink>
      <w:r w:rsidR="007604E1" w:rsidRPr="009D71C9">
        <w:rPr>
          <w:rFonts w:ascii="Times New Roman" w:eastAsia="Times New Roman" w:hAnsi="Times New Roman" w:cs="Times New Roman"/>
          <w:sz w:val="20"/>
          <w:szCs w:val="20"/>
          <w:lang w:val="en-US" w:eastAsia="ru-RU"/>
        </w:rPr>
        <w:t xml:space="preserve"> </w:t>
      </w:r>
    </w:p>
    <w:p w:rsidR="002D2D99" w:rsidRPr="009D71C9" w:rsidRDefault="002D2D99" w:rsidP="006907CD">
      <w:pPr>
        <w:spacing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sz w:val="20"/>
          <w:szCs w:val="20"/>
          <w:lang w:val="en-US"/>
        </w:rPr>
        <w:t>The primary challenge in the development of modern Unmanned Aerial Vehicles (UAVs) lies in achieving an optimal balance between structural weight reduction and dynamic durability under impact and vibration environments. This research investigates a symmetric 1.5–7.0–1.5 mm Al-Polymer-Al sandwich configuration. The dynamic response was evaluated using a dual-method approach: analytical modeling based on Kirchhoff-Love theory in MATLAB and high-fidelity numerical simulation using the Abaqus/Explicit finite element solver. The polymer core was characterized using a viscoelastic Prony series model.</w:t>
      </w:r>
      <w:r w:rsidR="006907CD" w:rsidRPr="009D71C9">
        <w:rPr>
          <w:rFonts w:ascii="Times New Roman" w:hAnsi="Times New Roman" w:cs="Times New Roman"/>
          <w:sz w:val="20"/>
          <w:szCs w:val="20"/>
          <w:lang w:val="en-US"/>
        </w:rPr>
        <w:t xml:space="preserve"> </w:t>
      </w:r>
      <w:r w:rsidR="006907CD" w:rsidRPr="009D71C9">
        <w:rPr>
          <w:rFonts w:ascii="Times New Roman" w:eastAsia="Times New Roman" w:hAnsi="Times New Roman" w:cs="Times New Roman"/>
          <w:sz w:val="20"/>
          <w:szCs w:val="20"/>
          <w:lang w:val="en-US" w:eastAsia="ru-RU"/>
        </w:rPr>
        <w:t xml:space="preserve">The viscoelastic behavior of the central polymer core was modeled using a Prony series representation of the shear relaxation modulus </w:t>
      </w:r>
      <w:r w:rsidR="006907CD" w:rsidRPr="009D71C9">
        <w:rPr>
          <w:rFonts w:ascii="Times New Roman" w:hAnsi="Times New Roman" w:cs="Times New Roman"/>
          <w:position w:val="-28"/>
          <w:sz w:val="20"/>
          <w:szCs w:val="20"/>
        </w:rPr>
        <w:object w:dxaOrig="2140" w:dyaOrig="680">
          <v:shape id="_x0000_i1041" type="#_x0000_t75" style="width:107.1pt;height:33.7pt" o:ole="">
            <v:imagedata r:id="rId36" o:title=""/>
          </v:shape>
          <o:OLEObject Type="Embed" ProgID="Equation.DSMT4" ShapeID="_x0000_i1041" DrawAspect="Content" ObjectID="_1846698141" r:id="rId37"/>
        </w:object>
      </w:r>
      <w:r w:rsidR="006907CD" w:rsidRPr="009D71C9">
        <w:rPr>
          <w:rFonts w:ascii="Times New Roman" w:eastAsia="Times New Roman" w:hAnsi="Times New Roman" w:cs="Times New Roman"/>
          <w:sz w:val="20"/>
          <w:szCs w:val="20"/>
          <w:lang w:val="en-US" w:eastAsia="ru-RU"/>
        </w:rPr>
        <w:t xml:space="preserve">. The material parameters for the polymer core were calibrated based on standard dynamic mechanical analysis (DMA) tests at room temperature, where the instantaneous shear modulus was </w:t>
      </w:r>
      <w:r w:rsidR="006907CD" w:rsidRPr="009D71C9">
        <w:rPr>
          <w:rFonts w:ascii="Times New Roman" w:hAnsi="Times New Roman" w:cs="Times New Roman"/>
          <w:position w:val="-12"/>
          <w:sz w:val="20"/>
          <w:szCs w:val="20"/>
        </w:rPr>
        <w:object w:dxaOrig="1440" w:dyaOrig="360">
          <v:shape id="_x0000_i1042" type="#_x0000_t75" style="width:1in;height:18pt" o:ole="">
            <v:imagedata r:id="rId38" o:title=""/>
          </v:shape>
          <o:OLEObject Type="Embed" ProgID="Equation.DSMT4" ShapeID="_x0000_i1042" DrawAspect="Content" ObjectID="_1846698142" r:id="rId39"/>
        </w:object>
      </w:r>
      <w:r w:rsidR="006907CD" w:rsidRPr="009D71C9">
        <w:rPr>
          <w:rFonts w:ascii="Times New Roman" w:eastAsia="Times New Roman" w:hAnsi="Times New Roman" w:cs="Times New Roman"/>
          <w:sz w:val="20"/>
          <w:szCs w:val="20"/>
          <w:lang w:val="en-US" w:eastAsia="ru-RU"/>
        </w:rPr>
        <w:t xml:space="preserve">, the long-term shear modulus was </w:t>
      </w:r>
      <w:r w:rsidR="006907CD" w:rsidRPr="009D71C9">
        <w:rPr>
          <w:rFonts w:ascii="Times New Roman" w:hAnsi="Times New Roman" w:cs="Times New Roman"/>
          <w:position w:val="-12"/>
          <w:sz w:val="20"/>
          <w:szCs w:val="20"/>
        </w:rPr>
        <w:object w:dxaOrig="1380" w:dyaOrig="360">
          <v:shape id="_x0000_i1043" type="#_x0000_t75" style="width:69.25pt;height:18pt" o:ole="">
            <v:imagedata r:id="rId40" o:title=""/>
          </v:shape>
          <o:OLEObject Type="Embed" ProgID="Equation.DSMT4" ShapeID="_x0000_i1043" DrawAspect="Content" ObjectID="_1846698143" r:id="rId41"/>
        </w:object>
      </w:r>
      <w:r w:rsidR="006907CD" w:rsidRPr="009D71C9">
        <w:rPr>
          <w:rFonts w:ascii="Times New Roman" w:eastAsia="Times New Roman" w:hAnsi="Times New Roman" w:cs="Times New Roman"/>
          <w:sz w:val="20"/>
          <w:szCs w:val="20"/>
          <w:lang w:val="en-US" w:eastAsia="ru-RU"/>
        </w:rPr>
        <w:t xml:space="preserve">, and the relaxation time was set to </w:t>
      </w:r>
      <w:r w:rsidR="006907CD" w:rsidRPr="009D71C9">
        <w:rPr>
          <w:rFonts w:ascii="Times New Roman" w:hAnsi="Times New Roman" w:cs="Times New Roman"/>
          <w:position w:val="-12"/>
          <w:sz w:val="20"/>
          <w:szCs w:val="20"/>
        </w:rPr>
        <w:object w:dxaOrig="1060" w:dyaOrig="360">
          <v:shape id="_x0000_i1044" type="#_x0000_t75" style="width:53.1pt;height:18pt" o:ole="">
            <v:imagedata r:id="rId42" o:title=""/>
          </v:shape>
          <o:OLEObject Type="Embed" ProgID="Equation.DSMT4" ShapeID="_x0000_i1044" DrawAspect="Content" ObjectID="_1846698144" r:id="rId43"/>
        </w:object>
      </w:r>
      <w:r w:rsidR="006907CD" w:rsidRPr="009D71C9">
        <w:rPr>
          <w:rFonts w:ascii="Times New Roman" w:eastAsia="Times New Roman" w:hAnsi="Times New Roman" w:cs="Times New Roman"/>
          <w:sz w:val="20"/>
          <w:szCs w:val="20"/>
          <w:lang w:val="en-US" w:eastAsia="ru-RU"/>
        </w:rPr>
        <w:t xml:space="preserve"> to accurately capture the short-term damping dissipation under impact loads.</w:t>
      </w:r>
      <w:r w:rsidRPr="009D71C9">
        <w:rPr>
          <w:rFonts w:ascii="Times New Roman" w:hAnsi="Times New Roman" w:cs="Times New Roman"/>
          <w:sz w:val="20"/>
          <w:szCs w:val="20"/>
          <w:lang w:val="en-US"/>
        </w:rPr>
        <w:t xml:space="preserve"> Theoretical analysis yielded a first fundamental frequency of 205.67 Hz. Numerical results demonstrated high convergence with the analytical data, showing a deviation of less than 3 %. The viscoelastic core effectively dissipated mechanical energy, dampening oscillations within a duration of 0.01 s. This hybrid approach is confirmed to be reliable for the design of complex composite systems in aerospace applications.</w:t>
      </w:r>
    </w:p>
    <w:p w:rsidR="002D2D99" w:rsidRPr="009D71C9" w:rsidRDefault="002D2D99" w:rsidP="006907CD">
      <w:pPr>
        <w:pStyle w:val="a3"/>
        <w:spacing w:before="0" w:beforeAutospacing="0" w:after="0" w:afterAutospacing="0"/>
        <w:jc w:val="both"/>
        <w:rPr>
          <w:sz w:val="20"/>
          <w:szCs w:val="20"/>
          <w:lang w:val="en-US"/>
        </w:rPr>
      </w:pPr>
      <w:r w:rsidRPr="009D71C9">
        <w:rPr>
          <w:b/>
          <w:bCs/>
          <w:sz w:val="20"/>
          <w:szCs w:val="20"/>
          <w:lang w:val="en-US"/>
        </w:rPr>
        <w:t>Keywords:</w:t>
      </w:r>
      <w:r w:rsidRPr="009D71C9">
        <w:rPr>
          <w:sz w:val="20"/>
          <w:szCs w:val="20"/>
          <w:lang w:val="en-US"/>
        </w:rPr>
        <w:t xml:space="preserve"> Sandwich panels, UAV structures, Abaqus/Explicit, MATLAB modeling, Viscoelastic damping, Dynamic impact.</w:t>
      </w:r>
    </w:p>
    <w:p w:rsidR="002D2D99" w:rsidRPr="009D71C9" w:rsidRDefault="002D2D99" w:rsidP="006907CD">
      <w:pPr>
        <w:pStyle w:val="a3"/>
        <w:spacing w:before="0" w:beforeAutospacing="0" w:after="0" w:afterAutospacing="0"/>
        <w:jc w:val="both"/>
        <w:rPr>
          <w:sz w:val="20"/>
          <w:szCs w:val="20"/>
          <w:lang w:val="en-US"/>
        </w:rPr>
      </w:pPr>
      <w:r w:rsidRPr="009D71C9">
        <w:rPr>
          <w:b/>
          <w:bCs/>
          <w:sz w:val="20"/>
          <w:szCs w:val="20"/>
          <w:lang w:val="en-US"/>
        </w:rPr>
        <w:t>1. Introduction</w:t>
      </w:r>
      <w:r w:rsidRPr="009D71C9">
        <w:rPr>
          <w:sz w:val="20"/>
          <w:szCs w:val="20"/>
          <w:lang w:val="en-US"/>
        </w:rPr>
        <w:t xml:space="preserve"> </w:t>
      </w:r>
      <w:proofErr w:type="gramStart"/>
      <w:r w:rsidRPr="009D71C9">
        <w:rPr>
          <w:sz w:val="20"/>
          <w:szCs w:val="20"/>
          <w:lang w:val="en-US"/>
        </w:rPr>
        <w:t>In</w:t>
      </w:r>
      <w:proofErr w:type="gramEnd"/>
      <w:r w:rsidRPr="009D71C9">
        <w:rPr>
          <w:sz w:val="20"/>
          <w:szCs w:val="20"/>
          <w:lang w:val="en-US"/>
        </w:rPr>
        <w:t xml:space="preserve"> the current aerospace industry, specifically in the design of Unmanned Aerial Vehicles (UAVs) and drones, structures are subjected to rigorous aerodynamic and mechanical loading conditions. The structural mass of the airframe directly influences flight endurance and efficiency, while high-frequency vibrations from propulsion systems and external impacts pose a risk to structural integrity. Traditional monolithic materials, such as single-layer aluminum alloys, often exhibit insufficient damping properties. Consequently, sandwich structures consisting of lightweight aluminum skins and energy-absorbing polymer cores are being increasingly utilized. This research aims to analyze the dynamic response of such panels under impulsive pressure and to evaluate the effectiveness of viscoelastic damping mechanisms through analytical and numerical methods.</w:t>
      </w:r>
    </w:p>
    <w:p w:rsidR="00A95961" w:rsidRPr="009D71C9" w:rsidRDefault="00A95961"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Nomenclature</w:t>
      </w:r>
      <w:r w:rsidRPr="009D71C9">
        <w:rPr>
          <w:rFonts w:ascii="Times New Roman" w:eastAsia="Times New Roman" w:hAnsi="Times New Roman" w:cs="Times New Roman"/>
          <w:sz w:val="20"/>
          <w:szCs w:val="20"/>
          <w:lang w:val="en-US" w:eastAsia="ru-RU"/>
        </w:rPr>
        <w:t xml:space="preserve"> </w:t>
      </w:r>
    </w:p>
    <w:p w:rsidR="00A95961" w:rsidRPr="009D71C9" w:rsidRDefault="00A95961"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hAnsi="Times New Roman" w:cs="Times New Roman"/>
          <w:position w:val="-4"/>
          <w:sz w:val="20"/>
          <w:szCs w:val="20"/>
        </w:rPr>
        <w:object w:dxaOrig="320" w:dyaOrig="300">
          <v:shape id="_x0000_i1045" type="#_x0000_t75" style="width:16.15pt;height:15.25pt" o:ole="">
            <v:imagedata r:id="rId44" o:title=""/>
          </v:shape>
          <o:OLEObject Type="Embed" ProgID="Equation.DSMT4" ShapeID="_x0000_i1045" DrawAspect="Content" ObjectID="_1846698145" r:id="rId45"/>
        </w:object>
      </w:r>
      <w:r w:rsidRPr="009D71C9">
        <w:rPr>
          <w:rFonts w:ascii="Times New Roman" w:eastAsia="Times New Roman" w:hAnsi="Times New Roman" w:cs="Times New Roman"/>
          <w:sz w:val="20"/>
          <w:szCs w:val="20"/>
          <w:lang w:val="en-US" w:eastAsia="ru-RU"/>
        </w:rPr>
        <w:t xml:space="preserve"> – equivalent bending stiffness, [N·m]</w:t>
      </w:r>
    </w:p>
    <w:p w:rsidR="00A95961" w:rsidRPr="009D71C9" w:rsidRDefault="00A95961"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hAnsi="Times New Roman" w:cs="Times New Roman"/>
          <w:position w:val="-6"/>
          <w:sz w:val="20"/>
          <w:szCs w:val="20"/>
        </w:rPr>
        <w:object w:dxaOrig="240" w:dyaOrig="220">
          <v:shape id="_x0000_i1046" type="#_x0000_t75" style="width:12pt;height:11.1pt" o:ole="">
            <v:imagedata r:id="rId46" o:title=""/>
          </v:shape>
          <o:OLEObject Type="Embed" ProgID="Equation.DSMT4" ShapeID="_x0000_i1046" DrawAspect="Content" ObjectID="_1846698146" r:id="rId47"/>
        </w:object>
      </w:r>
      <w:r w:rsidRPr="009D71C9">
        <w:rPr>
          <w:rFonts w:ascii="Times New Roman" w:eastAsia="Times New Roman" w:hAnsi="Times New Roman" w:cs="Times New Roman"/>
          <w:sz w:val="20"/>
          <w:szCs w:val="20"/>
          <w:lang w:val="en-US" w:eastAsia="ru-RU"/>
        </w:rPr>
        <w:t xml:space="preserve"> – transverse displacement, [mm] </w:t>
      </w:r>
    </w:p>
    <w:p w:rsidR="00A95961" w:rsidRPr="009D71C9" w:rsidRDefault="00A95961"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hAnsi="Times New Roman" w:cs="Times New Roman"/>
          <w:position w:val="-12"/>
          <w:sz w:val="20"/>
          <w:szCs w:val="20"/>
        </w:rPr>
        <w:object w:dxaOrig="240" w:dyaOrig="360">
          <v:shape id="_x0000_i1047" type="#_x0000_t75" style="width:12pt;height:18pt" o:ole="">
            <v:imagedata r:id="rId48" o:title=""/>
          </v:shape>
          <o:OLEObject Type="Embed" ProgID="Equation.DSMT4" ShapeID="_x0000_i1047" DrawAspect="Content" ObjectID="_1846698147" r:id="rId49"/>
        </w:object>
      </w:r>
      <w:r w:rsidRPr="009D71C9">
        <w:rPr>
          <w:rFonts w:ascii="Times New Roman" w:eastAsia="Times New Roman" w:hAnsi="Times New Roman" w:cs="Times New Roman"/>
          <w:sz w:val="20"/>
          <w:szCs w:val="20"/>
          <w:lang w:val="en-US" w:eastAsia="ru-RU"/>
        </w:rPr>
        <w:t xml:space="preserve"> – first natural frequency, [Hz] </w:t>
      </w:r>
    </w:p>
    <w:p w:rsidR="00A95961" w:rsidRPr="009D71C9" w:rsidRDefault="00A95961"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hAnsi="Times New Roman" w:cs="Times New Roman"/>
          <w:position w:val="-6"/>
          <w:sz w:val="20"/>
          <w:szCs w:val="20"/>
        </w:rPr>
        <w:object w:dxaOrig="260" w:dyaOrig="220">
          <v:shape id="_x0000_i1048" type="#_x0000_t75" style="width:12.9pt;height:11.1pt" o:ole="">
            <v:imagedata r:id="rId50" o:title=""/>
          </v:shape>
          <o:OLEObject Type="Embed" ProgID="Equation.DSMT4" ShapeID="_x0000_i1048" DrawAspect="Content" ObjectID="_1846698148" r:id="rId51"/>
        </w:object>
      </w:r>
      <w:r w:rsidRPr="009D71C9">
        <w:rPr>
          <w:rFonts w:ascii="Times New Roman" w:eastAsia="Times New Roman" w:hAnsi="Times New Roman" w:cs="Times New Roman"/>
          <w:sz w:val="20"/>
          <w:szCs w:val="20"/>
          <w:lang w:val="en-US" w:eastAsia="ru-RU"/>
        </w:rPr>
        <w:t xml:space="preserve"> – mass per unit area, [kg/m²] </w:t>
      </w:r>
    </w:p>
    <w:p w:rsidR="00A95961" w:rsidRPr="009D71C9" w:rsidRDefault="00A95961"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hAnsi="Times New Roman" w:cs="Times New Roman"/>
          <w:position w:val="-6"/>
          <w:sz w:val="20"/>
          <w:szCs w:val="20"/>
        </w:rPr>
        <w:object w:dxaOrig="240" w:dyaOrig="279">
          <v:shape id="_x0000_i1049" type="#_x0000_t75" style="width:12pt;height:13.85pt" o:ole="">
            <v:imagedata r:id="rId52" o:title=""/>
          </v:shape>
          <o:OLEObject Type="Embed" ProgID="Equation.DSMT4" ShapeID="_x0000_i1049" DrawAspect="Content" ObjectID="_1846698149" r:id="rId53"/>
        </w:object>
      </w:r>
      <w:r w:rsidRPr="009D71C9">
        <w:rPr>
          <w:rFonts w:ascii="Times New Roman" w:eastAsia="Times New Roman" w:hAnsi="Times New Roman" w:cs="Times New Roman"/>
          <w:sz w:val="20"/>
          <w:szCs w:val="20"/>
          <w:lang w:val="en-US" w:eastAsia="ru-RU"/>
        </w:rPr>
        <w:t xml:space="preserve"> – damping coefficient, [N·s/m] </w:t>
      </w:r>
    </w:p>
    <w:p w:rsidR="00A95961" w:rsidRPr="009D71C9" w:rsidRDefault="00A95961"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hAnsi="Times New Roman" w:cs="Times New Roman"/>
          <w:position w:val="-6"/>
          <w:sz w:val="20"/>
          <w:szCs w:val="20"/>
        </w:rPr>
        <w:object w:dxaOrig="200" w:dyaOrig="220">
          <v:shape id="_x0000_i1050" type="#_x0000_t75" style="width:10.15pt;height:11.1pt" o:ole="">
            <v:imagedata r:id="rId54" o:title=""/>
          </v:shape>
          <o:OLEObject Type="Embed" ProgID="Equation.DSMT4" ShapeID="_x0000_i1050" DrawAspect="Content" ObjectID="_1846698150" r:id="rId55"/>
        </w:object>
      </w:r>
      <w:r w:rsidRPr="009D71C9">
        <w:rPr>
          <w:rFonts w:ascii="Times New Roman" w:eastAsia="Times New Roman" w:hAnsi="Times New Roman" w:cs="Times New Roman"/>
          <w:sz w:val="20"/>
          <w:szCs w:val="20"/>
          <w:lang w:val="en-US" w:eastAsia="ru-RU"/>
        </w:rPr>
        <w:t xml:space="preserve"> – Poisson’s ratio</w:t>
      </w:r>
    </w:p>
    <w:p w:rsidR="00A95961" w:rsidRPr="009D71C9" w:rsidRDefault="00A95961" w:rsidP="006907CD">
      <w:pPr>
        <w:pStyle w:val="a3"/>
        <w:spacing w:before="0" w:beforeAutospacing="0" w:after="0" w:afterAutospacing="0"/>
        <w:jc w:val="both"/>
        <w:rPr>
          <w:sz w:val="20"/>
          <w:szCs w:val="20"/>
          <w:lang w:val="en-US"/>
        </w:rPr>
      </w:pPr>
    </w:p>
    <w:p w:rsidR="00366A5C" w:rsidRPr="009D71C9" w:rsidRDefault="00366A5C" w:rsidP="006907CD">
      <w:pPr>
        <w:spacing w:after="0" w:line="240" w:lineRule="auto"/>
        <w:outlineLvl w:val="2"/>
        <w:rPr>
          <w:rFonts w:ascii="Times New Roman" w:eastAsia="Times New Roman" w:hAnsi="Times New Roman" w:cs="Times New Roman"/>
          <w:b/>
          <w:bCs/>
          <w:sz w:val="20"/>
          <w:szCs w:val="20"/>
          <w:lang w:val="en-US" w:eastAsia="ru-RU"/>
        </w:rPr>
      </w:pPr>
      <w:r w:rsidRPr="009D71C9">
        <w:rPr>
          <w:rFonts w:ascii="Times New Roman" w:eastAsia="Times New Roman" w:hAnsi="Times New Roman" w:cs="Times New Roman"/>
          <w:b/>
          <w:bCs/>
          <w:sz w:val="20"/>
          <w:szCs w:val="20"/>
          <w:lang w:val="en-US" w:eastAsia="ru-RU"/>
        </w:rPr>
        <w:t>2. MATERIALS AND METHODS</w:t>
      </w:r>
    </w:p>
    <w:p w:rsidR="00366A5C" w:rsidRPr="009D71C9" w:rsidRDefault="00366A5C" w:rsidP="006907CD">
      <w:pPr>
        <w:spacing w:after="0" w:line="240" w:lineRule="auto"/>
        <w:jc w:val="both"/>
        <w:outlineLvl w:val="3"/>
        <w:rPr>
          <w:rFonts w:ascii="Times New Roman" w:eastAsia="Times New Roman" w:hAnsi="Times New Roman" w:cs="Times New Roman"/>
          <w:b/>
          <w:bCs/>
          <w:sz w:val="20"/>
          <w:szCs w:val="20"/>
          <w:lang w:val="en-US" w:eastAsia="ru-RU"/>
        </w:rPr>
      </w:pPr>
      <w:r w:rsidRPr="009D71C9">
        <w:rPr>
          <w:rFonts w:ascii="Times New Roman" w:eastAsia="Times New Roman" w:hAnsi="Times New Roman" w:cs="Times New Roman"/>
          <w:b/>
          <w:bCs/>
          <w:sz w:val="20"/>
          <w:szCs w:val="20"/>
          <w:lang w:val="en-US" w:eastAsia="ru-RU"/>
        </w:rPr>
        <w:t>2.1. Analytical Modeling</w:t>
      </w:r>
    </w:p>
    <w:p w:rsidR="00366A5C"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In the initial stage of the investigation, the theoretical dynamic parameters of the sandwich panel were calculated based on the classical Kirchhoff-Love thin plate theory. This theoretical framework allows for the determination of the equivalent bending stiffness of the entire system while considering the transverse shear effects between layers. The total bending stiffness (</w:t>
      </w:r>
      <w:r w:rsidRPr="009D71C9">
        <w:rPr>
          <w:rFonts w:ascii="Times New Roman" w:hAnsi="Times New Roman" w:cs="Times New Roman"/>
          <w:position w:val="-4"/>
          <w:sz w:val="20"/>
          <w:szCs w:val="20"/>
        </w:rPr>
        <w:object w:dxaOrig="320" w:dyaOrig="300">
          <v:shape id="_x0000_i1051" type="#_x0000_t75" style="width:16.15pt;height:15.25pt" o:ole="">
            <v:imagedata r:id="rId56" o:title=""/>
          </v:shape>
          <o:OLEObject Type="Embed" ProgID="Equation.DSMT4" ShapeID="_x0000_i1051" DrawAspect="Content" ObjectID="_1846698151" r:id="rId57"/>
        </w:object>
      </w:r>
      <w:r w:rsidRPr="009D71C9">
        <w:rPr>
          <w:rFonts w:ascii="Times New Roman" w:eastAsia="Times New Roman" w:hAnsi="Times New Roman" w:cs="Times New Roman"/>
          <w:sz w:val="20"/>
          <w:szCs w:val="20"/>
          <w:lang w:val="en-US" w:eastAsia="ru-RU"/>
        </w:rPr>
        <w:t>) of the three-layer sandwich panel was determined using the following expression:</w:t>
      </w:r>
    </w:p>
    <w:p w:rsidR="00366A5C" w:rsidRPr="009D71C9" w:rsidRDefault="00366A5C" w:rsidP="002C718B">
      <w:pPr>
        <w:spacing w:after="0" w:line="240" w:lineRule="auto"/>
        <w:jc w:val="right"/>
        <w:rPr>
          <w:rFonts w:ascii="Times New Roman" w:eastAsia="Times New Roman" w:hAnsi="Times New Roman" w:cs="Times New Roman"/>
          <w:sz w:val="20"/>
          <w:szCs w:val="20"/>
          <w:lang w:val="en-US" w:eastAsia="ru-RU"/>
        </w:rPr>
      </w:pPr>
      <w:r w:rsidRPr="009D71C9">
        <w:rPr>
          <w:rFonts w:ascii="Times New Roman" w:hAnsi="Times New Roman" w:cs="Times New Roman"/>
          <w:position w:val="-30"/>
          <w:sz w:val="20"/>
          <w:szCs w:val="20"/>
        </w:rPr>
        <w:object w:dxaOrig="2180" w:dyaOrig="700">
          <v:shape id="_x0000_i1052" type="#_x0000_t75" style="width:108.9pt;height:35.1pt" o:ole="">
            <v:imagedata r:id="rId58" o:title=""/>
          </v:shape>
          <o:OLEObject Type="Embed" ProgID="Equation.DSMT4" ShapeID="_x0000_i1052" DrawAspect="Content" ObjectID="_1846698152" r:id="rId59"/>
        </w:object>
      </w:r>
      <w:r w:rsidR="002C718B" w:rsidRPr="009D71C9">
        <w:rPr>
          <w:rFonts w:ascii="Times New Roman" w:hAnsi="Times New Roman" w:cs="Times New Roman"/>
          <w:sz w:val="20"/>
          <w:szCs w:val="20"/>
          <w:lang w:val="en-US"/>
        </w:rPr>
        <w:t xml:space="preserve"> </w:t>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t>(1)</w:t>
      </w:r>
    </w:p>
    <w:p w:rsidR="00366A5C"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 xml:space="preserve">Where </w:t>
      </w:r>
      <w:r w:rsidRPr="009D71C9">
        <w:rPr>
          <w:rFonts w:ascii="Times New Roman" w:hAnsi="Times New Roman" w:cs="Times New Roman"/>
          <w:position w:val="-12"/>
          <w:sz w:val="20"/>
          <w:szCs w:val="20"/>
        </w:rPr>
        <w:object w:dxaOrig="279" w:dyaOrig="360">
          <v:shape id="_x0000_i1053" type="#_x0000_t75" style="width:13.85pt;height:18pt" o:ole="">
            <v:imagedata r:id="rId60" o:title=""/>
          </v:shape>
          <o:OLEObject Type="Embed" ProgID="Equation.DSMT4" ShapeID="_x0000_i1053" DrawAspect="Content" ObjectID="_1846698153" r:id="rId61"/>
        </w:object>
      </w:r>
      <w:r w:rsidRPr="009D71C9">
        <w:rPr>
          <w:rFonts w:ascii="Times New Roman" w:eastAsia="Times New Roman" w:hAnsi="Times New Roman" w:cs="Times New Roman"/>
          <w:sz w:val="20"/>
          <w:szCs w:val="20"/>
          <w:lang w:val="en-US" w:eastAsia="ru-RU"/>
        </w:rPr>
        <w:t xml:space="preserve"> and </w:t>
      </w:r>
      <w:r w:rsidRPr="009D71C9">
        <w:rPr>
          <w:rFonts w:ascii="Times New Roman" w:hAnsi="Times New Roman" w:cs="Times New Roman"/>
          <w:position w:val="-12"/>
          <w:sz w:val="20"/>
          <w:szCs w:val="20"/>
        </w:rPr>
        <w:object w:dxaOrig="240" w:dyaOrig="360">
          <v:shape id="_x0000_i1054" type="#_x0000_t75" style="width:12pt;height:18pt" o:ole="">
            <v:imagedata r:id="rId62" o:title=""/>
          </v:shape>
          <o:OLEObject Type="Embed" ProgID="Equation.DSMT4" ShapeID="_x0000_i1054" DrawAspect="Content" ObjectID="_1846698154" r:id="rId63"/>
        </w:object>
      </w:r>
      <w:r w:rsidRPr="009D71C9">
        <w:rPr>
          <w:rFonts w:ascii="Times New Roman" w:eastAsia="Times New Roman" w:hAnsi="Times New Roman" w:cs="Times New Roman"/>
          <w:sz w:val="20"/>
          <w:szCs w:val="20"/>
          <w:lang w:val="en-US" w:eastAsia="ru-RU"/>
        </w:rPr>
        <w:t xml:space="preserve"> represent the elastic modulus and Poisson's ratio of each respective layer. The dynamic motion of the sandwich panel under impulsive loading is governed by the following partial differential equation:</w:t>
      </w:r>
    </w:p>
    <w:p w:rsidR="00366A5C" w:rsidRPr="009D71C9" w:rsidRDefault="00366A5C" w:rsidP="002C718B">
      <w:pPr>
        <w:spacing w:after="0" w:line="240" w:lineRule="auto"/>
        <w:jc w:val="right"/>
        <w:rPr>
          <w:rFonts w:ascii="Times New Roman" w:eastAsia="Times New Roman" w:hAnsi="Times New Roman" w:cs="Times New Roman"/>
          <w:sz w:val="20"/>
          <w:szCs w:val="20"/>
          <w:lang w:val="en-US" w:eastAsia="ru-RU"/>
        </w:rPr>
      </w:pPr>
      <w:r w:rsidRPr="009D71C9">
        <w:rPr>
          <w:rFonts w:ascii="Times New Roman" w:hAnsi="Times New Roman" w:cs="Times New Roman"/>
          <w:position w:val="-24"/>
          <w:sz w:val="20"/>
          <w:szCs w:val="20"/>
        </w:rPr>
        <w:object w:dxaOrig="3640" w:dyaOrig="660">
          <v:shape id="_x0000_i1055" type="#_x0000_t75" style="width:181.85pt;height:33.25pt" o:ole="">
            <v:imagedata r:id="rId64" o:title=""/>
          </v:shape>
          <o:OLEObject Type="Embed" ProgID="Equation.DSMT4" ShapeID="_x0000_i1055" DrawAspect="Content" ObjectID="_1846698155" r:id="rId65"/>
        </w:object>
      </w:r>
      <w:r w:rsidR="002C718B" w:rsidRPr="009D71C9">
        <w:rPr>
          <w:rFonts w:ascii="Times New Roman" w:hAnsi="Times New Roman" w:cs="Times New Roman"/>
          <w:sz w:val="20"/>
          <w:szCs w:val="20"/>
          <w:lang w:val="en-US"/>
        </w:rPr>
        <w:t xml:space="preserve"> </w:t>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t>(2)</w:t>
      </w:r>
    </w:p>
    <w:p w:rsidR="00366A5C" w:rsidRPr="009D71C9" w:rsidRDefault="00366A5C" w:rsidP="00B957C6">
      <w:pPr>
        <w:jc w:val="both"/>
        <w:rPr>
          <w:rFonts w:ascii="Times New Roman" w:eastAsia="Times New Roman" w:hAnsi="Times New Roman" w:cs="Times New Roman"/>
          <w:sz w:val="24"/>
          <w:szCs w:val="24"/>
          <w:lang w:val="en-US" w:eastAsia="ru-RU"/>
        </w:rPr>
      </w:pPr>
      <w:r w:rsidRPr="009D71C9">
        <w:rPr>
          <w:rFonts w:ascii="Times New Roman" w:eastAsia="Times New Roman" w:hAnsi="Times New Roman" w:cs="Times New Roman"/>
          <w:sz w:val="20"/>
          <w:szCs w:val="20"/>
          <w:lang w:val="en-US" w:eastAsia="ru-RU"/>
        </w:rPr>
        <w:t xml:space="preserve">In this </w:t>
      </w:r>
      <w:proofErr w:type="gramStart"/>
      <w:r w:rsidRPr="009D71C9">
        <w:rPr>
          <w:rFonts w:ascii="Times New Roman" w:eastAsia="Times New Roman" w:hAnsi="Times New Roman" w:cs="Times New Roman"/>
          <w:sz w:val="20"/>
          <w:szCs w:val="20"/>
          <w:lang w:val="en-US" w:eastAsia="ru-RU"/>
        </w:rPr>
        <w:t xml:space="preserve">equation, </w:t>
      </w:r>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w</w:t>
      </w:r>
      <w:proofErr w:type="gramEnd"/>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 xml:space="preserve"> denotes the transverse displacement, </w:t>
      </w:r>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m</w:t>
      </w:r>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 xml:space="preserve"> is the mass per unit area, and </w:t>
      </w:r>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C</w:t>
      </w:r>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 xml:space="preserve"> represents the damping coefficient.</w:t>
      </w:r>
      <w:r w:rsidR="00B957C6" w:rsidRPr="009D71C9">
        <w:rPr>
          <w:rFonts w:ascii="Times New Roman" w:eastAsia="Times New Roman" w:hAnsi="Times New Roman" w:cs="Times New Roman"/>
          <w:sz w:val="20"/>
          <w:szCs w:val="20"/>
          <w:lang w:val="en-US" w:eastAsia="ru-RU"/>
        </w:rPr>
        <w:t xml:space="preserve"> </w:t>
      </w:r>
      <w:r w:rsidR="00B957C6" w:rsidRPr="009D71C9">
        <w:rPr>
          <w:rFonts w:ascii="Times New Roman" w:eastAsia="Times New Roman" w:hAnsi="Times New Roman" w:cs="Times New Roman"/>
          <w:sz w:val="20"/>
          <w:szCs w:val="24"/>
          <w:lang w:val="en-US" w:eastAsia="ru-RU"/>
        </w:rPr>
        <w:t xml:space="preserve">Where </w:t>
      </w:r>
      <w:r w:rsidR="00B957C6" w:rsidRPr="009D71C9">
        <w:rPr>
          <w:rFonts w:ascii="Times New Roman" w:hAnsi="Times New Roman" w:cs="Times New Roman"/>
          <w:position w:val="-4"/>
        </w:rPr>
        <w:object w:dxaOrig="200" w:dyaOrig="200">
          <v:shape id="_x0000_i1056" type="#_x0000_t75" style="width:10.15pt;height:10.15pt" o:ole="">
            <v:imagedata r:id="rId66" o:title=""/>
          </v:shape>
          <o:OLEObject Type="Embed" ProgID="Equation.DSMT4" ShapeID="_x0000_i1056" DrawAspect="Content" ObjectID="_1846698156" r:id="rId67"/>
        </w:object>
      </w:r>
      <w:r w:rsidR="00B957C6" w:rsidRPr="009D71C9">
        <w:rPr>
          <w:rFonts w:ascii="Times New Roman" w:eastAsia="Times New Roman" w:hAnsi="Times New Roman" w:cs="Times New Roman"/>
          <w:sz w:val="20"/>
          <w:szCs w:val="24"/>
          <w:lang w:val="en-US" w:eastAsia="ru-RU"/>
        </w:rPr>
        <w:t xml:space="preserve"> represents the transverse coordinate measured from the neutral mid-plane of the sandwich panel along the thickness direction (</w:t>
      </w:r>
      <w:r w:rsidR="00B957C6" w:rsidRPr="009D71C9">
        <w:rPr>
          <w:rFonts w:ascii="Times New Roman" w:hAnsi="Times New Roman" w:cs="Times New Roman"/>
          <w:position w:val="-6"/>
        </w:rPr>
        <w:object w:dxaOrig="1600" w:dyaOrig="279">
          <v:shape id="_x0000_i1057" type="#_x0000_t75" style="width:79.85pt;height:13.85pt" o:ole="">
            <v:imagedata r:id="rId68" o:title=""/>
          </v:shape>
          <o:OLEObject Type="Embed" ProgID="Equation.DSMT4" ShapeID="_x0000_i1057" DrawAspect="Content" ObjectID="_1846698157" r:id="rId69"/>
        </w:object>
      </w:r>
      <w:r w:rsidR="00B957C6" w:rsidRPr="009D71C9">
        <w:rPr>
          <w:rFonts w:ascii="Times New Roman" w:eastAsia="Times New Roman" w:hAnsi="Times New Roman" w:cs="Times New Roman"/>
          <w:sz w:val="20"/>
          <w:szCs w:val="24"/>
          <w:lang w:val="en-US" w:eastAsia="ru-RU"/>
        </w:rPr>
        <w:t xml:space="preserve">). The biharmonic operator </w:t>
      </w:r>
      <w:r w:rsidR="00B957C6" w:rsidRPr="009D71C9">
        <w:rPr>
          <w:rFonts w:ascii="Times New Roman" w:hAnsi="Times New Roman" w:cs="Times New Roman"/>
          <w:position w:val="-10"/>
        </w:rPr>
        <w:object w:dxaOrig="3760" w:dyaOrig="360">
          <v:shape id="_x0000_i1058" type="#_x0000_t75" style="width:187.85pt;height:18pt" o:ole="">
            <v:imagedata r:id="rId70" o:title=""/>
          </v:shape>
          <o:OLEObject Type="Embed" ProgID="Equation.DSMT4" ShapeID="_x0000_i1058" DrawAspect="Content" ObjectID="_1846698158" r:id="rId71"/>
        </w:object>
      </w:r>
      <w:r w:rsidR="00B957C6" w:rsidRPr="009D71C9">
        <w:rPr>
          <w:rFonts w:ascii="Times New Roman" w:eastAsia="Times New Roman" w:hAnsi="Times New Roman" w:cs="Times New Roman"/>
          <w:sz w:val="20"/>
          <w:szCs w:val="24"/>
          <w:lang w:val="en-US" w:eastAsia="ru-RU"/>
        </w:rPr>
        <w:t xml:space="preserve"> governs the transverse bending deflection field of the equivalent viscoelastic plate.</w:t>
      </w:r>
      <w:r w:rsidR="003367F8"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Given that all edges of the panel are fully clamped (Encastre boundary conditions), the following conditions were applied:</w:t>
      </w:r>
    </w:p>
    <w:p w:rsidR="00366A5C" w:rsidRPr="009D71C9" w:rsidRDefault="00366A5C" w:rsidP="006907CD">
      <w:pPr>
        <w:numPr>
          <w:ilvl w:val="0"/>
          <w:numId w:val="1"/>
        </w:numPr>
        <w:spacing w:after="0"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position w:val="-10"/>
          <w:sz w:val="20"/>
          <w:szCs w:val="20"/>
        </w:rPr>
        <w:object w:dxaOrig="3820" w:dyaOrig="320">
          <v:shape id="_x0000_i1059" type="#_x0000_t75" style="width:191.55pt;height:16.15pt" o:ole="">
            <v:imagedata r:id="rId72" o:title=""/>
          </v:shape>
          <o:OLEObject Type="Embed" ProgID="Equation.DSMT4" ShapeID="_x0000_i1059" DrawAspect="Content" ObjectID="_1846698159" r:id="rId73"/>
        </w:object>
      </w:r>
      <w:r w:rsidR="004648C8" w:rsidRPr="009D71C9">
        <w:rPr>
          <w:rFonts w:ascii="Times New Roman" w:hAnsi="Times New Roman" w:cs="Times New Roman"/>
          <w:sz w:val="20"/>
          <w:szCs w:val="20"/>
        </w:rPr>
        <w:tab/>
      </w:r>
    </w:p>
    <w:p w:rsidR="00366A5C" w:rsidRPr="009D71C9" w:rsidRDefault="00366A5C" w:rsidP="006907CD">
      <w:pPr>
        <w:numPr>
          <w:ilvl w:val="0"/>
          <w:numId w:val="1"/>
        </w:numPr>
        <w:spacing w:after="0"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position w:val="-24"/>
          <w:sz w:val="20"/>
          <w:szCs w:val="20"/>
        </w:rPr>
        <w:object w:dxaOrig="740" w:dyaOrig="620">
          <v:shape id="_x0000_i1060" type="#_x0000_t75" style="width:36.9pt;height:30.9pt" o:ole="">
            <v:imagedata r:id="rId74" o:title=""/>
          </v:shape>
          <o:OLEObject Type="Embed" ProgID="Equation.DSMT4" ShapeID="_x0000_i1060" DrawAspect="Content" ObjectID="_1846698160" r:id="rId75"/>
        </w:object>
      </w:r>
      <w:r w:rsidRPr="009D71C9">
        <w:rPr>
          <w:rFonts w:ascii="Times New Roman" w:eastAsia="Times New Roman" w:hAnsi="Times New Roman" w:cs="Times New Roman"/>
          <w:sz w:val="20"/>
          <w:szCs w:val="20"/>
          <w:lang w:val="en-US" w:eastAsia="ru-RU"/>
        </w:rPr>
        <w:t xml:space="preserve"> (zero rotation at the boundaries).</w:t>
      </w:r>
    </w:p>
    <w:p w:rsidR="00366A5C"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 xml:space="preserve">The initial conditions at </w:t>
      </w:r>
      <w:r w:rsidRPr="009D71C9">
        <w:rPr>
          <w:rFonts w:ascii="Times New Roman" w:hAnsi="Times New Roman" w:cs="Times New Roman"/>
          <w:position w:val="-6"/>
          <w:sz w:val="20"/>
          <w:szCs w:val="20"/>
        </w:rPr>
        <w:object w:dxaOrig="499" w:dyaOrig="279">
          <v:shape id="_x0000_i1061" type="#_x0000_t75" style="width:24.9pt;height:13.85pt" o:ole="">
            <v:imagedata r:id="rId76" o:title=""/>
          </v:shape>
          <o:OLEObject Type="Embed" ProgID="Equation.DSMT4" ShapeID="_x0000_i1061" DrawAspect="Content" ObjectID="_1846698161" r:id="rId77"/>
        </w:object>
      </w:r>
      <w:r w:rsidRPr="009D71C9">
        <w:rPr>
          <w:rFonts w:ascii="Times New Roman" w:eastAsia="Times New Roman" w:hAnsi="Times New Roman" w:cs="Times New Roman"/>
          <w:sz w:val="20"/>
          <w:szCs w:val="20"/>
          <w:lang w:val="en-US" w:eastAsia="ru-RU"/>
        </w:rPr>
        <w:t xml:space="preserve"> assumed the panel to be at rest (</w:t>
      </w:r>
      <w:r w:rsidRPr="009D71C9">
        <w:rPr>
          <w:rFonts w:ascii="Times New Roman" w:hAnsi="Times New Roman" w:cs="Times New Roman"/>
          <w:position w:val="-6"/>
          <w:sz w:val="20"/>
          <w:szCs w:val="20"/>
        </w:rPr>
        <w:object w:dxaOrig="600" w:dyaOrig="279">
          <v:shape id="_x0000_i1062" type="#_x0000_t75" style="width:30pt;height:13.85pt" o:ole="">
            <v:imagedata r:id="rId78" o:title=""/>
          </v:shape>
          <o:OLEObject Type="Embed" ProgID="Equation.DSMT4" ShapeID="_x0000_i1062" DrawAspect="Content" ObjectID="_1846698162" r:id="rId79"/>
        </w:object>
      </w:r>
      <w:r w:rsidRPr="009D71C9">
        <w:rPr>
          <w:rFonts w:ascii="Times New Roman" w:eastAsia="Times New Roman" w:hAnsi="Times New Roman" w:cs="Times New Roman"/>
          <w:sz w:val="20"/>
          <w:szCs w:val="20"/>
          <w:lang w:val="en-US" w:eastAsia="ru-RU"/>
        </w:rPr>
        <w:t xml:space="preserve"> and </w:t>
      </w:r>
      <w:r w:rsidRPr="009D71C9">
        <w:rPr>
          <w:rFonts w:ascii="Times New Roman" w:hAnsi="Times New Roman" w:cs="Times New Roman"/>
          <w:position w:val="-6"/>
          <w:sz w:val="20"/>
          <w:szCs w:val="20"/>
        </w:rPr>
        <w:object w:dxaOrig="600" w:dyaOrig="279">
          <v:shape id="_x0000_i1063" type="#_x0000_t75" style="width:30pt;height:13.85pt" o:ole="">
            <v:imagedata r:id="rId80" o:title=""/>
          </v:shape>
          <o:OLEObject Type="Embed" ProgID="Equation.DSMT4" ShapeID="_x0000_i1063" DrawAspect="Content" ObjectID="_1846698163" r:id="rId81"/>
        </w:object>
      </w:r>
      <w:r w:rsidRPr="009D71C9">
        <w:rPr>
          <w:rFonts w:ascii="Times New Roman" w:eastAsia="Times New Roman" w:hAnsi="Times New Roman" w:cs="Times New Roman"/>
          <w:sz w:val="20"/>
          <w:szCs w:val="20"/>
          <w:lang w:val="en-US" w:eastAsia="ru-RU"/>
        </w:rPr>
        <w:t xml:space="preserve">). The external impulsive pressure </w:t>
      </w:r>
      <w:r w:rsidRPr="009D71C9">
        <w:rPr>
          <w:rFonts w:ascii="Times New Roman" w:hAnsi="Times New Roman" w:cs="Times New Roman"/>
          <w:position w:val="-10"/>
          <w:sz w:val="20"/>
          <w:szCs w:val="20"/>
        </w:rPr>
        <w:object w:dxaOrig="480" w:dyaOrig="320">
          <v:shape id="_x0000_i1064" type="#_x0000_t75" style="width:24pt;height:16.15pt" o:ole="">
            <v:imagedata r:id="rId82" o:title=""/>
          </v:shape>
          <o:OLEObject Type="Embed" ProgID="Equation.DSMT4" ShapeID="_x0000_i1064" DrawAspect="Content" ObjectID="_1846698164" r:id="rId83"/>
        </w:object>
      </w:r>
      <w:r w:rsidRPr="009D71C9">
        <w:rPr>
          <w:rFonts w:ascii="Times New Roman" w:eastAsia="Times New Roman" w:hAnsi="Times New Roman" w:cs="Times New Roman"/>
          <w:sz w:val="20"/>
          <w:szCs w:val="20"/>
          <w:lang w:val="en-US" w:eastAsia="ru-RU"/>
        </w:rPr>
        <w:t xml:space="preserve"> was defined by the following function:</w:t>
      </w:r>
    </w:p>
    <w:p w:rsidR="00366A5C" w:rsidRPr="009D71C9" w:rsidRDefault="00366A5C" w:rsidP="002C718B">
      <w:pPr>
        <w:spacing w:after="0" w:line="240" w:lineRule="auto"/>
        <w:jc w:val="right"/>
        <w:rPr>
          <w:rFonts w:ascii="Times New Roman" w:eastAsia="Times New Roman" w:hAnsi="Times New Roman" w:cs="Times New Roman"/>
          <w:sz w:val="20"/>
          <w:szCs w:val="20"/>
          <w:lang w:val="en-US" w:eastAsia="ru-RU"/>
        </w:rPr>
      </w:pPr>
      <w:r w:rsidRPr="009D71C9">
        <w:rPr>
          <w:rFonts w:ascii="Times New Roman" w:hAnsi="Times New Roman" w:cs="Times New Roman"/>
          <w:position w:val="-30"/>
          <w:sz w:val="20"/>
          <w:szCs w:val="20"/>
        </w:rPr>
        <w:object w:dxaOrig="3140" w:dyaOrig="720">
          <v:shape id="_x0000_i1065" type="#_x0000_t75" style="width:157.4pt;height:36pt" o:ole="">
            <v:imagedata r:id="rId84" o:title=""/>
          </v:shape>
          <o:OLEObject Type="Embed" ProgID="Equation.DSMT4" ShapeID="_x0000_i1065" DrawAspect="Content" ObjectID="_1846698165" r:id="rId85"/>
        </w:object>
      </w:r>
      <w:r w:rsidR="002C718B" w:rsidRPr="009D71C9">
        <w:rPr>
          <w:rFonts w:ascii="Times New Roman" w:hAnsi="Times New Roman" w:cs="Times New Roman"/>
          <w:sz w:val="20"/>
          <w:szCs w:val="20"/>
          <w:lang w:val="en-US"/>
        </w:rPr>
        <w:t xml:space="preserve">   </w:t>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t xml:space="preserve"> (3)</w:t>
      </w:r>
    </w:p>
    <w:p w:rsidR="00366A5C"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The first-order natural frequency (</w:t>
      </w:r>
      <w:r w:rsidR="009A2D3F" w:rsidRPr="009D71C9">
        <w:rPr>
          <w:rFonts w:ascii="Times New Roman" w:hAnsi="Times New Roman" w:cs="Times New Roman"/>
          <w:position w:val="-12"/>
          <w:sz w:val="20"/>
          <w:szCs w:val="20"/>
        </w:rPr>
        <w:object w:dxaOrig="240" w:dyaOrig="360">
          <v:shape id="_x0000_i1066" type="#_x0000_t75" style="width:12pt;height:18pt" o:ole="">
            <v:imagedata r:id="rId86" o:title=""/>
          </v:shape>
          <o:OLEObject Type="Embed" ProgID="Equation.DSMT4" ShapeID="_x0000_i1066" DrawAspect="Content" ObjectID="_1846698166" r:id="rId87"/>
        </w:object>
      </w:r>
      <w:r w:rsidRPr="009D71C9">
        <w:rPr>
          <w:rFonts w:ascii="Times New Roman" w:eastAsia="Times New Roman" w:hAnsi="Times New Roman" w:cs="Times New Roman"/>
          <w:sz w:val="20"/>
          <w:szCs w:val="20"/>
          <w:lang w:val="en-US" w:eastAsia="ru-RU"/>
        </w:rPr>
        <w:t>) of the plate was expressed as:</w:t>
      </w:r>
    </w:p>
    <w:p w:rsidR="00366A5C" w:rsidRPr="009D71C9" w:rsidRDefault="00366A5C" w:rsidP="002C718B">
      <w:pPr>
        <w:spacing w:after="0" w:line="240" w:lineRule="auto"/>
        <w:jc w:val="right"/>
        <w:rPr>
          <w:rFonts w:ascii="Times New Roman" w:eastAsia="Times New Roman" w:hAnsi="Times New Roman" w:cs="Times New Roman"/>
          <w:sz w:val="20"/>
          <w:szCs w:val="20"/>
          <w:lang w:val="en-US" w:eastAsia="ru-RU"/>
        </w:rPr>
      </w:pPr>
      <w:r w:rsidRPr="009D71C9">
        <w:rPr>
          <w:rFonts w:ascii="Times New Roman" w:hAnsi="Times New Roman" w:cs="Times New Roman"/>
          <w:position w:val="-28"/>
          <w:sz w:val="20"/>
          <w:szCs w:val="20"/>
        </w:rPr>
        <w:object w:dxaOrig="2240" w:dyaOrig="740">
          <v:shape id="_x0000_i1067" type="#_x0000_t75" style="width:112.15pt;height:36.9pt" o:ole="">
            <v:imagedata r:id="rId88" o:title=""/>
          </v:shape>
          <o:OLEObject Type="Embed" ProgID="Equation.DSMT4" ShapeID="_x0000_i1067" DrawAspect="Content" ObjectID="_1846698167" r:id="rId89"/>
        </w:object>
      </w:r>
      <w:r w:rsidR="002C718B" w:rsidRPr="009D71C9">
        <w:rPr>
          <w:rFonts w:ascii="Times New Roman" w:hAnsi="Times New Roman" w:cs="Times New Roman"/>
          <w:sz w:val="20"/>
          <w:szCs w:val="20"/>
          <w:lang w:val="en-US"/>
        </w:rPr>
        <w:t xml:space="preserve"> </w:t>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r>
      <w:r w:rsidR="002C718B" w:rsidRPr="009D71C9">
        <w:rPr>
          <w:rFonts w:ascii="Times New Roman" w:hAnsi="Times New Roman" w:cs="Times New Roman"/>
          <w:sz w:val="20"/>
          <w:szCs w:val="20"/>
          <w:lang w:val="en-US"/>
        </w:rPr>
        <w:tab/>
        <w:t>(4)</w:t>
      </w:r>
    </w:p>
    <w:p w:rsidR="00366A5C"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For the analytical calculations performed in MATLAB, the thicknesses of the aluminum layers and the polymer core were set to 1.5 mm and 7.0 mm, respectively.</w:t>
      </w:r>
    </w:p>
    <w:p w:rsidR="00366A5C" w:rsidRPr="009D71C9" w:rsidRDefault="00366A5C" w:rsidP="006907CD">
      <w:pPr>
        <w:spacing w:after="0" w:line="240" w:lineRule="auto"/>
        <w:jc w:val="both"/>
        <w:outlineLvl w:val="3"/>
        <w:rPr>
          <w:rFonts w:ascii="Times New Roman" w:eastAsia="Times New Roman" w:hAnsi="Times New Roman" w:cs="Times New Roman"/>
          <w:b/>
          <w:bCs/>
          <w:sz w:val="20"/>
          <w:szCs w:val="20"/>
          <w:lang w:val="en-US" w:eastAsia="ru-RU"/>
        </w:rPr>
      </w:pPr>
      <w:r w:rsidRPr="009D71C9">
        <w:rPr>
          <w:rFonts w:ascii="Times New Roman" w:eastAsia="Times New Roman" w:hAnsi="Times New Roman" w:cs="Times New Roman"/>
          <w:b/>
          <w:bCs/>
          <w:sz w:val="20"/>
          <w:szCs w:val="20"/>
          <w:lang w:val="en-US" w:eastAsia="ru-RU"/>
        </w:rPr>
        <w:t>2.2. Numerical Simulation (FEM)</w:t>
      </w:r>
    </w:p>
    <w:p w:rsidR="00B5723E" w:rsidRPr="009D71C9" w:rsidRDefault="00366A5C" w:rsidP="00B5723E">
      <w:pPr>
        <w:jc w:val="both"/>
        <w:rPr>
          <w:rFonts w:ascii="Times New Roman" w:eastAsia="Times New Roman" w:hAnsi="Times New Roman" w:cs="Times New Roman"/>
          <w:sz w:val="20"/>
          <w:szCs w:val="24"/>
          <w:lang w:val="en-US" w:eastAsia="ru-RU"/>
        </w:rPr>
      </w:pPr>
      <w:r w:rsidRPr="009D71C9">
        <w:rPr>
          <w:rFonts w:ascii="Times New Roman" w:eastAsia="Times New Roman" w:hAnsi="Times New Roman" w:cs="Times New Roman"/>
          <w:sz w:val="20"/>
          <w:szCs w:val="20"/>
          <w:lang w:val="en-US" w:eastAsia="ru-RU"/>
        </w:rPr>
        <w:t xml:space="preserve">In the second stage, a three-dimensional finite element model (FEM) of the </w:t>
      </w:r>
      <w:r w:rsidR="006526E3" w:rsidRPr="009D71C9">
        <w:rPr>
          <w:rFonts w:ascii="Times New Roman" w:hAnsi="Times New Roman" w:cs="Times New Roman"/>
          <w:position w:val="-6"/>
          <w:sz w:val="20"/>
          <w:szCs w:val="20"/>
        </w:rPr>
        <w:object w:dxaOrig="960" w:dyaOrig="279">
          <v:shape id="_x0000_i1068" type="#_x0000_t75" style="width:48pt;height:13.85pt" o:ole="">
            <v:imagedata r:id="rId90" o:title=""/>
          </v:shape>
          <o:OLEObject Type="Embed" ProgID="Equation.DSMT4" ShapeID="_x0000_i1068" DrawAspect="Content" ObjectID="_1846698168" r:id="rId91"/>
        </w:object>
      </w:r>
      <w:r w:rsidRPr="009D71C9">
        <w:rPr>
          <w:rFonts w:ascii="Times New Roman" w:eastAsia="Times New Roman" w:hAnsi="Times New Roman" w:cs="Times New Roman"/>
          <w:sz w:val="20"/>
          <w:szCs w:val="20"/>
          <w:lang w:val="en-US" w:eastAsia="ru-RU"/>
        </w:rPr>
        <w:t xml:space="preserve"> mm panel was developed using the Abaqus/Explicit software suite.</w:t>
      </w:r>
      <w:r w:rsidR="00B5723E" w:rsidRPr="009D71C9">
        <w:rPr>
          <w:rFonts w:ascii="Times New Roman" w:eastAsia="Times New Roman" w:hAnsi="Times New Roman" w:cs="Times New Roman"/>
          <w:sz w:val="20"/>
          <w:szCs w:val="20"/>
          <w:lang w:val="en-US" w:eastAsia="ru-RU"/>
        </w:rPr>
        <w:t xml:space="preserve"> </w:t>
      </w:r>
      <w:r w:rsidR="00B5723E" w:rsidRPr="009D71C9">
        <w:rPr>
          <w:rFonts w:ascii="Times New Roman" w:eastAsia="Times New Roman" w:hAnsi="Times New Roman" w:cs="Times New Roman"/>
          <w:sz w:val="20"/>
          <w:szCs w:val="24"/>
          <w:lang w:val="en-US" w:eastAsia="ru-RU"/>
        </w:rPr>
        <w:t xml:space="preserve">In the finite element model developed in Abaqus/Explicit, the aluminum skins and polymer core were discretized using 8-node linear brick elements with reduced integration and hourglass control (C3D8R). A mesh convergence study was performed, leading to an optimal global mesh size of </w:t>
      </w:r>
      <w:r w:rsidR="00B5723E" w:rsidRPr="009D71C9">
        <w:rPr>
          <w:rFonts w:ascii="Times New Roman" w:hAnsi="Times New Roman" w:cs="Times New Roman"/>
          <w:position w:val="-6"/>
        </w:rPr>
        <w:object w:dxaOrig="800" w:dyaOrig="279">
          <v:shape id="_x0000_i1069" type="#_x0000_t75" style="width:39.7pt;height:14.3pt" o:ole="">
            <v:imagedata r:id="rId92" o:title=""/>
          </v:shape>
          <o:OLEObject Type="Embed" ProgID="Equation.DSMT4" ShapeID="_x0000_i1069" DrawAspect="Content" ObjectID="_1846698169" r:id="rId93"/>
        </w:object>
      </w:r>
      <w:r w:rsidR="00B5723E" w:rsidRPr="009D71C9">
        <w:rPr>
          <w:rFonts w:ascii="Times New Roman" w:eastAsia="Times New Roman" w:hAnsi="Times New Roman" w:cs="Times New Roman"/>
          <w:sz w:val="20"/>
          <w:szCs w:val="24"/>
          <w:lang w:val="en-US" w:eastAsia="ru-RU"/>
        </w:rPr>
        <w:t xml:space="preserve"> for the panel face sheets and core, resulting in a total of </w:t>
      </w:r>
      <w:r w:rsidR="00CE058B" w:rsidRPr="009D71C9">
        <w:rPr>
          <w:rFonts w:ascii="Times New Roman" w:eastAsia="Times New Roman" w:hAnsi="Times New Roman" w:cs="Times New Roman"/>
          <w:sz w:val="20"/>
          <w:szCs w:val="24"/>
          <w:lang w:val="en-US" w:eastAsia="ru-RU"/>
        </w:rPr>
        <w:t>125,000</w:t>
      </w:r>
      <w:r w:rsidR="00B5723E" w:rsidRPr="009D71C9">
        <w:rPr>
          <w:rFonts w:ascii="Times New Roman" w:eastAsia="Times New Roman" w:hAnsi="Times New Roman" w:cs="Times New Roman"/>
          <w:sz w:val="20"/>
          <w:szCs w:val="24"/>
          <w:lang w:val="en-US" w:eastAsia="ru-RU"/>
        </w:rPr>
        <w:t xml:space="preserve"> elements. The contact between the aluminum skins and the polymer core was modeled using a "tie" constraint to ensure perfect interlaminar bonding without slip. The explicit dynamic analysis utilized an automatic time stepping scheme with an initial stable time increment of approximately </w:t>
      </w:r>
      <w:r w:rsidR="00B5723E" w:rsidRPr="009D71C9">
        <w:rPr>
          <w:rFonts w:ascii="Times New Roman" w:hAnsi="Times New Roman" w:cs="Times New Roman"/>
          <w:position w:val="-6"/>
        </w:rPr>
        <w:object w:dxaOrig="1100" w:dyaOrig="320">
          <v:shape id="_x0000_i1070" type="#_x0000_t75" style="width:54.9pt;height:15.7pt" o:ole="">
            <v:imagedata r:id="rId94" o:title=""/>
          </v:shape>
          <o:OLEObject Type="Embed" ProgID="Equation.DSMT4" ShapeID="_x0000_i1070" DrawAspect="Content" ObjectID="_1846698170" r:id="rId95"/>
        </w:object>
      </w:r>
      <w:r w:rsidR="00B5723E" w:rsidRPr="009D71C9">
        <w:rPr>
          <w:rFonts w:ascii="Times New Roman" w:eastAsia="Times New Roman" w:hAnsi="Times New Roman" w:cs="Times New Roman"/>
          <w:sz w:val="20"/>
          <w:szCs w:val="24"/>
          <w:lang w:val="en-US" w:eastAsia="ru-RU"/>
        </w:rPr>
        <w:t xml:space="preserve">. To optimize computational efficiency without compromising physical accuracy, bulk viscosity parameters and mass scaling were applied, ensuring that the mass increase remained below </w:t>
      </w:r>
      <w:r w:rsidR="00B5723E" w:rsidRPr="009D71C9">
        <w:rPr>
          <w:rFonts w:ascii="Times New Roman" w:hAnsi="Times New Roman" w:cs="Times New Roman"/>
          <w:position w:val="-6"/>
        </w:rPr>
        <w:object w:dxaOrig="380" w:dyaOrig="279">
          <v:shape id="_x0000_i1071" type="#_x0000_t75" style="width:18.9pt;height:14.3pt" o:ole="">
            <v:imagedata r:id="rId96" o:title=""/>
          </v:shape>
          <o:OLEObject Type="Embed" ProgID="Equation.DSMT4" ShapeID="_x0000_i1071" DrawAspect="Content" ObjectID="_1846698171" r:id="rId97"/>
        </w:object>
      </w:r>
      <w:r w:rsidR="00B5723E" w:rsidRPr="009D71C9">
        <w:rPr>
          <w:rFonts w:ascii="Times New Roman" w:eastAsia="Times New Roman" w:hAnsi="Times New Roman" w:cs="Times New Roman"/>
          <w:sz w:val="20"/>
          <w:szCs w:val="24"/>
          <w:lang w:val="en-US" w:eastAsia="ru-RU"/>
        </w:rPr>
        <w:t xml:space="preserve"> of the total structural mass throughout the impact event.</w:t>
      </w:r>
    </w:p>
    <w:p w:rsidR="00366A5C"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 xml:space="preserve"> The aluminum skins were defined as an elastoplastic material with a yield strength of 275 MPa. To accurately characterize the energy absorption capacity of the central polymer core, a viscoelastic model based on a Prony series was implemented. The structure was subjected to fully clamped (Encastre) conditions at the boundaries, and an impulsive pressure of 5 MPa with a duration of 0.002 s was applied to the center of the panel.</w:t>
      </w:r>
    </w:p>
    <w:p w:rsidR="00366A5C" w:rsidRPr="009D71C9" w:rsidRDefault="00366A5C" w:rsidP="006907CD">
      <w:pPr>
        <w:spacing w:after="0" w:line="240" w:lineRule="auto"/>
        <w:jc w:val="both"/>
        <w:outlineLvl w:val="2"/>
        <w:rPr>
          <w:rFonts w:ascii="Times New Roman" w:eastAsia="Times New Roman" w:hAnsi="Times New Roman" w:cs="Times New Roman"/>
          <w:b/>
          <w:bCs/>
          <w:sz w:val="20"/>
          <w:szCs w:val="20"/>
          <w:lang w:val="en-US" w:eastAsia="ru-RU"/>
        </w:rPr>
      </w:pPr>
      <w:r w:rsidRPr="009D71C9">
        <w:rPr>
          <w:rFonts w:ascii="Times New Roman" w:eastAsia="Times New Roman" w:hAnsi="Times New Roman" w:cs="Times New Roman"/>
          <w:b/>
          <w:bCs/>
          <w:sz w:val="20"/>
          <w:szCs w:val="20"/>
          <w:lang w:val="en-US" w:eastAsia="ru-RU"/>
        </w:rPr>
        <w:t>3. RESULTS AND DISCUSSION</w:t>
      </w:r>
    </w:p>
    <w:p w:rsidR="00366A5C" w:rsidRPr="009D71C9" w:rsidRDefault="00366A5C"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 xml:space="preserve">Based on the analytical solutions obtained from the MATLAB environment, the equivalent stiffness of the proposed 1.5–7.0–1.5 mm configuration was found to be </w:t>
      </w:r>
      <w:r w:rsidR="006526E3" w:rsidRPr="009D71C9">
        <w:rPr>
          <w:rFonts w:ascii="Times New Roman" w:hAnsi="Times New Roman" w:cs="Times New Roman"/>
          <w:position w:val="-10"/>
          <w:sz w:val="20"/>
          <w:szCs w:val="20"/>
        </w:rPr>
        <w:object w:dxaOrig="1960" w:dyaOrig="360">
          <v:shape id="_x0000_i1072" type="#_x0000_t75" style="width:97.4pt;height:18pt" o:ole="">
            <v:imagedata r:id="rId98" o:title=""/>
          </v:shape>
          <o:OLEObject Type="Embed" ProgID="Equation.DSMT4" ShapeID="_x0000_i1072" DrawAspect="Content" ObjectID="_1846698172" r:id="rId99"/>
        </w:object>
      </w:r>
      <w:r w:rsidRPr="009D71C9">
        <w:rPr>
          <w:rFonts w:ascii="Times New Roman" w:eastAsia="Times New Roman" w:hAnsi="Times New Roman" w:cs="Times New Roman"/>
          <w:sz w:val="20"/>
          <w:szCs w:val="20"/>
          <w:lang w:val="en-US" w:eastAsia="ru-RU"/>
        </w:rPr>
        <w:t xml:space="preserve">, while the natural frequency was determined as </w:t>
      </w:r>
      <w:r w:rsidR="006526E3" w:rsidRPr="009D71C9">
        <w:rPr>
          <w:rFonts w:ascii="Times New Roman" w:hAnsi="Times New Roman" w:cs="Times New Roman"/>
          <w:position w:val="-12"/>
          <w:sz w:val="20"/>
          <w:szCs w:val="20"/>
        </w:rPr>
        <w:object w:dxaOrig="1520" w:dyaOrig="360">
          <v:shape id="_x0000_i1073" type="#_x0000_t75" style="width:76.15pt;height:18pt" o:ole="">
            <v:imagedata r:id="rId100" o:title=""/>
          </v:shape>
          <o:OLEObject Type="Embed" ProgID="Equation.DSMT4" ShapeID="_x0000_i1073" DrawAspect="Content" ObjectID="_1846698173" r:id="rId101"/>
        </w:object>
      </w:r>
      <w:r w:rsidRPr="009D71C9">
        <w:rPr>
          <w:rFonts w:ascii="Times New Roman" w:eastAsia="Times New Roman" w:hAnsi="Times New Roman" w:cs="Times New Roman"/>
          <w:sz w:val="20"/>
          <w:szCs w:val="20"/>
          <w:lang w:val="en-US" w:eastAsia="ru-RU"/>
        </w:rPr>
        <w:t>. To validate these theoretical values, the results obtained from the Abaqus simulation were subjected to a detailed comparative analysis.</w:t>
      </w:r>
    </w:p>
    <w:p w:rsidR="00711040" w:rsidRPr="009D71C9" w:rsidRDefault="00711040" w:rsidP="006907CD">
      <w:pPr>
        <w:spacing w:after="0" w:line="240" w:lineRule="auto"/>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lastRenderedPageBreak/>
        <w:t>The transient dynamic response of the sandwich panel center and the subsequent damping behavior under an impulsive load are illustrated in Figure 1.</w:t>
      </w:r>
    </w:p>
    <w:p w:rsidR="00711040" w:rsidRPr="009D71C9" w:rsidRDefault="00711040" w:rsidP="006907CD">
      <w:pPr>
        <w:spacing w:after="0" w:line="240" w:lineRule="auto"/>
        <w:jc w:val="center"/>
        <w:rPr>
          <w:rFonts w:ascii="Times New Roman" w:eastAsia="Times New Roman" w:hAnsi="Times New Roman" w:cs="Times New Roman"/>
          <w:i/>
          <w:iCs/>
          <w:sz w:val="20"/>
          <w:szCs w:val="20"/>
          <w:lang w:val="en-US" w:eastAsia="ru-RU"/>
        </w:rPr>
      </w:pPr>
      <w:r w:rsidRPr="009D71C9">
        <w:rPr>
          <w:rFonts w:ascii="Times New Roman" w:hAnsi="Times New Roman" w:cs="Times New Roman"/>
          <w:noProof/>
          <w:sz w:val="20"/>
          <w:szCs w:val="20"/>
          <w:lang w:eastAsia="ru-RU"/>
        </w:rPr>
        <w:drawing>
          <wp:inline distT="0" distB="0" distL="0" distR="0" wp14:anchorId="3C5B5C8E" wp14:editId="17FA87BC">
            <wp:extent cx="3484173" cy="180000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BEBA8EAE-BF5A-486C-A8C5-ECC9F3942E4B}">
                          <a14:imgProps xmlns:a14="http://schemas.microsoft.com/office/drawing/2010/main">
                            <a14:imgLayer r:embed="rId103">
                              <a14:imgEffect>
                                <a14:sharpenSoften amount="25000"/>
                              </a14:imgEffect>
                              <a14:imgEffect>
                                <a14:brightnessContrast contrast="-40000"/>
                              </a14:imgEffect>
                            </a14:imgLayer>
                          </a14:imgProps>
                        </a:ext>
                      </a:extLst>
                    </a:blip>
                    <a:stretch>
                      <a:fillRect/>
                    </a:stretch>
                  </pic:blipFill>
                  <pic:spPr>
                    <a:xfrm>
                      <a:off x="0" y="0"/>
                      <a:ext cx="3484173" cy="1800000"/>
                    </a:xfrm>
                    <a:prstGeom prst="rect">
                      <a:avLst/>
                    </a:prstGeom>
                  </pic:spPr>
                </pic:pic>
              </a:graphicData>
            </a:graphic>
          </wp:inline>
        </w:drawing>
      </w:r>
    </w:p>
    <w:p w:rsidR="00711040" w:rsidRPr="009D71C9" w:rsidRDefault="00711040" w:rsidP="006907CD">
      <w:pPr>
        <w:spacing w:after="0" w:line="240" w:lineRule="auto"/>
        <w:rPr>
          <w:rFonts w:ascii="Times New Roman" w:eastAsia="Times New Roman" w:hAnsi="Times New Roman" w:cs="Times New Roman"/>
          <w:b/>
          <w:i/>
          <w:iCs/>
          <w:sz w:val="20"/>
          <w:szCs w:val="20"/>
          <w:lang w:val="en-US" w:eastAsia="ru-RU"/>
        </w:rPr>
      </w:pPr>
      <w:r w:rsidRPr="009D71C9">
        <w:rPr>
          <w:rFonts w:ascii="Times New Roman" w:eastAsia="Times New Roman" w:hAnsi="Times New Roman" w:cs="Times New Roman"/>
          <w:b/>
          <w:i/>
          <w:iCs/>
          <w:sz w:val="20"/>
          <w:szCs w:val="20"/>
          <w:lang w:val="en-US" w:eastAsia="ru-RU"/>
        </w:rPr>
        <w:t>Figure 1. Time-history of the central displacement for the sandwich panel under impulsive loading.</w:t>
      </w:r>
    </w:p>
    <w:p w:rsidR="00514708" w:rsidRPr="009D71C9" w:rsidRDefault="00514708" w:rsidP="006907CD">
      <w:pPr>
        <w:spacing w:after="0" w:line="240" w:lineRule="auto"/>
        <w:rPr>
          <w:rFonts w:ascii="Times New Roman" w:eastAsia="Times New Roman" w:hAnsi="Times New Roman" w:cs="Times New Roman"/>
          <w:b/>
          <w:sz w:val="20"/>
          <w:szCs w:val="20"/>
          <w:lang w:val="en-US" w:eastAsia="ru-RU"/>
        </w:rPr>
      </w:pPr>
    </w:p>
    <w:p w:rsidR="00711040" w:rsidRPr="009D71C9" w:rsidRDefault="00711040"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 xml:space="preserve">It is observed from Figure 1 that the maximum displacement occurring immediately after the impact is approximately </w:t>
      </w:r>
      <w:r w:rsidR="009A2D3F" w:rsidRPr="009D71C9">
        <w:rPr>
          <w:rFonts w:ascii="Times New Roman" w:hAnsi="Times New Roman" w:cs="Times New Roman"/>
          <w:position w:val="-6"/>
          <w:sz w:val="20"/>
          <w:szCs w:val="20"/>
        </w:rPr>
        <w:object w:dxaOrig="440" w:dyaOrig="279">
          <v:shape id="_x0000_i1074" type="#_x0000_t75" style="width:22.15pt;height:13.85pt" o:ole="">
            <v:imagedata r:id="rId104" o:title=""/>
          </v:shape>
          <o:OLEObject Type="Embed" ProgID="Equation.DSMT4" ShapeID="_x0000_i1074" DrawAspect="Content" ObjectID="_1846698174" r:id="rId105"/>
        </w:object>
      </w:r>
      <w:r w:rsidRPr="009D71C9">
        <w:rPr>
          <w:rFonts w:ascii="Times New Roman" w:eastAsia="Times New Roman" w:hAnsi="Times New Roman" w:cs="Times New Roman"/>
          <w:sz w:val="20"/>
          <w:szCs w:val="20"/>
          <w:lang w:val="en-US" w:eastAsia="ru-RU"/>
        </w:rPr>
        <w:t xml:space="preserve"> mm. A significant aspect of this response is the rapid attenuation of the oscillation amplitude. Due to the viscoelastic characteristics of the polymer core, specifically through the mechanism of viscous dissipation, mechanical vibrations are effectively damped within a time interval of </w:t>
      </w:r>
      <w:proofErr w:type="gramStart"/>
      <w:r w:rsidRPr="009D71C9">
        <w:rPr>
          <w:rFonts w:ascii="Times New Roman" w:eastAsia="Times New Roman" w:hAnsi="Times New Roman" w:cs="Times New Roman"/>
          <w:sz w:val="20"/>
          <w:szCs w:val="20"/>
          <w:lang w:val="en-US" w:eastAsia="ru-RU"/>
        </w:rPr>
        <w:t xml:space="preserve">merely </w:t>
      </w:r>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0.01</w:t>
      </w:r>
      <w:proofErr w:type="gramEnd"/>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 xml:space="preserve"> s. This rapid stabilization is critical for protecting secondary structures and electronic components housed within the UAV fuselage.</w:t>
      </w:r>
    </w:p>
    <w:p w:rsidR="004B710A" w:rsidRPr="009D71C9" w:rsidRDefault="00711040" w:rsidP="004B710A">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To evaluate the overall deformation profile of the structure, a displacement contour map was generated at the moment of maximum stress, as shown in Figure 2.</w:t>
      </w:r>
      <w:r w:rsidR="00F35448" w:rsidRPr="009D71C9">
        <w:rPr>
          <w:rFonts w:ascii="Times New Roman" w:eastAsia="Times New Roman" w:hAnsi="Times New Roman" w:cs="Times New Roman"/>
          <w:sz w:val="20"/>
          <w:szCs w:val="20"/>
          <w:lang w:val="en-US" w:eastAsia="ru-RU"/>
        </w:rPr>
        <w:t xml:space="preserve"> </w:t>
      </w:r>
    </w:p>
    <w:p w:rsidR="00711040" w:rsidRPr="009D71C9" w:rsidRDefault="00711040" w:rsidP="004B710A">
      <w:pPr>
        <w:spacing w:after="0" w:line="240" w:lineRule="auto"/>
        <w:jc w:val="center"/>
        <w:rPr>
          <w:rFonts w:ascii="Times New Roman" w:eastAsia="Times New Roman" w:hAnsi="Times New Roman" w:cs="Times New Roman"/>
          <w:i/>
          <w:iCs/>
          <w:sz w:val="20"/>
          <w:szCs w:val="20"/>
          <w:lang w:val="en-US" w:eastAsia="ru-RU"/>
        </w:rPr>
      </w:pPr>
      <w:r w:rsidRPr="009D71C9">
        <w:rPr>
          <w:rFonts w:ascii="Times New Roman" w:hAnsi="Times New Roman" w:cs="Times New Roman"/>
          <w:noProof/>
          <w:sz w:val="20"/>
          <w:szCs w:val="20"/>
          <w:lang w:eastAsia="ru-RU"/>
        </w:rPr>
        <w:drawing>
          <wp:inline distT="0" distB="0" distL="0" distR="0" wp14:anchorId="0C7252AE" wp14:editId="18DA82C1">
            <wp:extent cx="2811780" cy="266789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l="30872"/>
                    <a:stretch/>
                  </pic:blipFill>
                  <pic:spPr bwMode="auto">
                    <a:xfrm>
                      <a:off x="0" y="0"/>
                      <a:ext cx="2833859" cy="2688844"/>
                    </a:xfrm>
                    <a:prstGeom prst="rect">
                      <a:avLst/>
                    </a:prstGeom>
                    <a:ln>
                      <a:noFill/>
                    </a:ln>
                    <a:extLst>
                      <a:ext uri="{53640926-AAD7-44D8-BBD7-CCE9431645EC}">
                        <a14:shadowObscured xmlns:a14="http://schemas.microsoft.com/office/drawing/2010/main"/>
                      </a:ext>
                    </a:extLst>
                  </pic:spPr>
                </pic:pic>
              </a:graphicData>
            </a:graphic>
          </wp:inline>
        </w:drawing>
      </w:r>
    </w:p>
    <w:p w:rsidR="00711040" w:rsidRPr="009D71C9" w:rsidRDefault="00711040" w:rsidP="00B83E0F">
      <w:pPr>
        <w:spacing w:after="0" w:line="240" w:lineRule="auto"/>
        <w:jc w:val="center"/>
        <w:rPr>
          <w:rFonts w:ascii="Times New Roman" w:eastAsia="Times New Roman" w:hAnsi="Times New Roman" w:cs="Times New Roman"/>
          <w:b/>
          <w:i/>
          <w:iCs/>
          <w:sz w:val="20"/>
          <w:szCs w:val="20"/>
          <w:lang w:val="en-US" w:eastAsia="ru-RU"/>
        </w:rPr>
      </w:pPr>
      <w:r w:rsidRPr="009D71C9">
        <w:rPr>
          <w:rFonts w:ascii="Times New Roman" w:eastAsia="Times New Roman" w:hAnsi="Times New Roman" w:cs="Times New Roman"/>
          <w:b/>
          <w:i/>
          <w:iCs/>
          <w:sz w:val="20"/>
          <w:szCs w:val="20"/>
          <w:lang w:val="en-US" w:eastAsia="ru-RU"/>
        </w:rPr>
        <w:t>Figure 2. Displacement distribution map (U, Magnitude) of the sandwich panel under impact.</w:t>
      </w:r>
    </w:p>
    <w:p w:rsidR="00514708" w:rsidRPr="009D71C9" w:rsidRDefault="00514708" w:rsidP="006907CD">
      <w:pPr>
        <w:spacing w:after="0" w:line="240" w:lineRule="auto"/>
        <w:rPr>
          <w:rFonts w:ascii="Times New Roman" w:eastAsia="Times New Roman" w:hAnsi="Times New Roman" w:cs="Times New Roman"/>
          <w:b/>
          <w:sz w:val="20"/>
          <w:szCs w:val="20"/>
          <w:lang w:val="en-US" w:eastAsia="ru-RU"/>
        </w:rPr>
      </w:pPr>
    </w:p>
    <w:p w:rsidR="00711040" w:rsidRPr="009D71C9" w:rsidRDefault="005F2BF4" w:rsidP="00F35448">
      <w:pPr>
        <w:spacing w:after="0"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sz w:val="20"/>
          <w:szCs w:val="20"/>
          <w:lang w:val="en-US"/>
        </w:rPr>
        <w:t xml:space="preserve">The color scale ranges from blue (minimum displacement, 0 mm) to red (maximum displacement). The contour map indicates that the deformation is predominantly concentrated in the central region of the panel. The displacement values diminish towards the boundaries, reaching zero at the clamped edges. This distribution confirms that the Encastre boundary conditions implemented in the numerical model functioned correctly and reflect real-world structural constraints. </w:t>
      </w:r>
      <w:r w:rsidR="00711040" w:rsidRPr="009D71C9">
        <w:rPr>
          <w:rFonts w:ascii="Times New Roman" w:eastAsia="Times New Roman" w:hAnsi="Times New Roman" w:cs="Times New Roman"/>
          <w:sz w:val="20"/>
          <w:szCs w:val="20"/>
          <w:lang w:val="en-US" w:eastAsia="ru-RU"/>
        </w:rPr>
        <w:t>Furthermore, to assess the mechanical integrity and potential failure zones of the design, the Von Mises equivalent stress distribution was analyzed (Figure 3).</w:t>
      </w:r>
      <w:r w:rsidR="004B710A" w:rsidRPr="009D71C9">
        <w:rPr>
          <w:rFonts w:ascii="Times New Roman" w:eastAsia="Times New Roman" w:hAnsi="Times New Roman" w:cs="Times New Roman"/>
          <w:sz w:val="20"/>
          <w:szCs w:val="20"/>
          <w:lang w:val="en-US" w:eastAsia="ru-RU"/>
        </w:rPr>
        <w:t xml:space="preserve"> </w:t>
      </w:r>
    </w:p>
    <w:p w:rsidR="00711040" w:rsidRPr="009D71C9" w:rsidRDefault="00711040" w:rsidP="006907CD">
      <w:pPr>
        <w:spacing w:after="0" w:line="240" w:lineRule="auto"/>
        <w:jc w:val="center"/>
        <w:rPr>
          <w:rFonts w:ascii="Times New Roman" w:eastAsia="Times New Roman" w:hAnsi="Times New Roman" w:cs="Times New Roman"/>
          <w:i/>
          <w:iCs/>
          <w:sz w:val="20"/>
          <w:szCs w:val="20"/>
          <w:lang w:val="en-US" w:eastAsia="ru-RU"/>
        </w:rPr>
      </w:pPr>
      <w:r w:rsidRPr="009D71C9">
        <w:rPr>
          <w:rFonts w:ascii="Times New Roman" w:hAnsi="Times New Roman" w:cs="Times New Roman"/>
          <w:noProof/>
          <w:sz w:val="20"/>
          <w:szCs w:val="20"/>
          <w:lang w:eastAsia="ru-RU"/>
        </w:rPr>
        <w:lastRenderedPageBreak/>
        <w:drawing>
          <wp:inline distT="0" distB="0" distL="0" distR="0" wp14:anchorId="77606042" wp14:editId="4759C095">
            <wp:extent cx="2971800" cy="283623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srcRect l="40208"/>
                    <a:stretch/>
                  </pic:blipFill>
                  <pic:spPr bwMode="auto">
                    <a:xfrm>
                      <a:off x="0" y="0"/>
                      <a:ext cx="3009068" cy="2871798"/>
                    </a:xfrm>
                    <a:prstGeom prst="rect">
                      <a:avLst/>
                    </a:prstGeom>
                    <a:ln>
                      <a:noFill/>
                    </a:ln>
                    <a:extLst>
                      <a:ext uri="{53640926-AAD7-44D8-BBD7-CCE9431645EC}">
                        <a14:shadowObscured xmlns:a14="http://schemas.microsoft.com/office/drawing/2010/main"/>
                      </a:ext>
                    </a:extLst>
                  </pic:spPr>
                </pic:pic>
              </a:graphicData>
            </a:graphic>
          </wp:inline>
        </w:drawing>
      </w:r>
    </w:p>
    <w:p w:rsidR="00711040" w:rsidRPr="009D71C9" w:rsidRDefault="00711040" w:rsidP="00B83E0F">
      <w:pPr>
        <w:spacing w:after="0" w:line="240" w:lineRule="auto"/>
        <w:jc w:val="center"/>
        <w:rPr>
          <w:rFonts w:ascii="Times New Roman" w:eastAsia="Times New Roman" w:hAnsi="Times New Roman" w:cs="Times New Roman"/>
          <w:b/>
          <w:i/>
          <w:iCs/>
          <w:sz w:val="20"/>
          <w:szCs w:val="20"/>
          <w:lang w:val="en-US" w:eastAsia="ru-RU"/>
        </w:rPr>
      </w:pPr>
      <w:r w:rsidRPr="009D71C9">
        <w:rPr>
          <w:rFonts w:ascii="Times New Roman" w:eastAsia="Times New Roman" w:hAnsi="Times New Roman" w:cs="Times New Roman"/>
          <w:b/>
          <w:i/>
          <w:iCs/>
          <w:sz w:val="20"/>
          <w:szCs w:val="20"/>
          <w:lang w:val="en-US" w:eastAsia="ru-RU"/>
        </w:rPr>
        <w:t>Figure 3. Von Mises equivalent stress distribution at the peak response time.</w:t>
      </w:r>
    </w:p>
    <w:p w:rsidR="00514708" w:rsidRPr="009D71C9" w:rsidRDefault="00514708" w:rsidP="006907CD">
      <w:pPr>
        <w:spacing w:after="0" w:line="240" w:lineRule="auto"/>
        <w:jc w:val="both"/>
        <w:rPr>
          <w:rFonts w:ascii="Times New Roman" w:eastAsia="Times New Roman" w:hAnsi="Times New Roman" w:cs="Times New Roman"/>
          <w:b/>
          <w:sz w:val="20"/>
          <w:szCs w:val="20"/>
          <w:lang w:val="en-US" w:eastAsia="ru-RU"/>
        </w:rPr>
      </w:pPr>
    </w:p>
    <w:p w:rsidR="00711040" w:rsidRPr="009D71C9" w:rsidRDefault="005F2BF4"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sz w:val="20"/>
          <w:szCs w:val="20"/>
          <w:lang w:val="en-US"/>
        </w:rPr>
        <w:t xml:space="preserve">The color scale indicates the stress intensity, ranging from blue (minimum stress, 0 MPa) to red (maximum Von Mises stress, 275 MPa). The highest stress concentration is observed near the clamped boundary regions and the center of impact, demonstrating the energy distribution across the panel. </w:t>
      </w:r>
      <w:r w:rsidR="00711040" w:rsidRPr="009D71C9">
        <w:rPr>
          <w:rFonts w:ascii="Times New Roman" w:eastAsia="Times New Roman" w:hAnsi="Times New Roman" w:cs="Times New Roman"/>
          <w:sz w:val="20"/>
          <w:szCs w:val="20"/>
          <w:lang w:val="en-US" w:eastAsia="ru-RU"/>
        </w:rPr>
        <w:t>The stress analysis is essential for identifying regions where the material might reach its plasticity limit. For the current configuration, the synergy between the aluminum skins and the polymer core ensures that stresses are distributed in a way that prevents catastrophic structural failure while maximizing energy absorption.</w:t>
      </w:r>
    </w:p>
    <w:p w:rsidR="003D3A00" w:rsidRPr="009D71C9" w:rsidRDefault="003D3A00" w:rsidP="006907CD">
      <w:pPr>
        <w:spacing w:after="0" w:line="240" w:lineRule="auto"/>
        <w:jc w:val="center"/>
        <w:rPr>
          <w:rFonts w:ascii="Times New Roman" w:eastAsia="Times New Roman" w:hAnsi="Times New Roman" w:cs="Times New Roman"/>
          <w:i/>
          <w:iCs/>
          <w:sz w:val="20"/>
          <w:szCs w:val="20"/>
          <w:lang w:val="en-US" w:eastAsia="ru-RU"/>
        </w:rPr>
      </w:pPr>
      <w:r w:rsidRPr="009D71C9">
        <w:rPr>
          <w:rFonts w:ascii="Times New Roman" w:hAnsi="Times New Roman" w:cs="Times New Roman"/>
          <w:noProof/>
          <w:sz w:val="20"/>
          <w:szCs w:val="20"/>
          <w:lang w:eastAsia="ru-RU"/>
        </w:rPr>
        <w:drawing>
          <wp:inline distT="0" distB="0" distL="0" distR="0" wp14:anchorId="363D5CD1" wp14:editId="6B1E949E">
            <wp:extent cx="5721052" cy="297766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extLst>
                        <a:ext uri="{BEBA8EAE-BF5A-486C-A8C5-ECC9F3942E4B}">
                          <a14:imgProps xmlns:a14="http://schemas.microsoft.com/office/drawing/2010/main">
                            <a14:imgLayer r:embed="rId109">
                              <a14:imgEffect>
                                <a14:saturation sat="400000"/>
                              </a14:imgEffect>
                              <a14:imgEffect>
                                <a14:brightnessContrast contrast="-20000"/>
                              </a14:imgEffect>
                            </a14:imgLayer>
                          </a14:imgProps>
                        </a:ext>
                      </a:extLst>
                    </a:blip>
                    <a:stretch>
                      <a:fillRect/>
                    </a:stretch>
                  </pic:blipFill>
                  <pic:spPr>
                    <a:xfrm>
                      <a:off x="0" y="0"/>
                      <a:ext cx="5819616" cy="3028962"/>
                    </a:xfrm>
                    <a:prstGeom prst="rect">
                      <a:avLst/>
                    </a:prstGeom>
                  </pic:spPr>
                </pic:pic>
              </a:graphicData>
            </a:graphic>
          </wp:inline>
        </w:drawing>
      </w:r>
    </w:p>
    <w:p w:rsidR="003D3A00" w:rsidRPr="009D71C9" w:rsidRDefault="003D3A00" w:rsidP="00B83E0F">
      <w:pPr>
        <w:spacing w:after="0" w:line="240" w:lineRule="auto"/>
        <w:jc w:val="center"/>
        <w:rPr>
          <w:rFonts w:ascii="Times New Roman" w:eastAsia="Times New Roman" w:hAnsi="Times New Roman" w:cs="Times New Roman"/>
          <w:b/>
          <w:i/>
          <w:iCs/>
          <w:sz w:val="20"/>
          <w:szCs w:val="20"/>
          <w:lang w:val="en-US" w:eastAsia="ru-RU"/>
        </w:rPr>
      </w:pPr>
      <w:r w:rsidRPr="009D71C9">
        <w:rPr>
          <w:rFonts w:ascii="Times New Roman" w:eastAsia="Times New Roman" w:hAnsi="Times New Roman" w:cs="Times New Roman"/>
          <w:b/>
          <w:i/>
          <w:iCs/>
          <w:sz w:val="20"/>
          <w:szCs w:val="20"/>
          <w:lang w:val="en-US" w:eastAsia="ru-RU"/>
        </w:rPr>
        <w:t>Figure 4. Time-history of the equivalent stress damping after the initial impulse.</w:t>
      </w:r>
    </w:p>
    <w:p w:rsidR="00514708" w:rsidRPr="009D71C9" w:rsidRDefault="00514708" w:rsidP="006907CD">
      <w:pPr>
        <w:spacing w:after="0" w:line="240" w:lineRule="auto"/>
        <w:rPr>
          <w:rFonts w:ascii="Times New Roman" w:eastAsia="Times New Roman" w:hAnsi="Times New Roman" w:cs="Times New Roman"/>
          <w:b/>
          <w:sz w:val="20"/>
          <w:szCs w:val="20"/>
          <w:lang w:val="en-US" w:eastAsia="ru-RU"/>
        </w:rPr>
      </w:pPr>
    </w:p>
    <w:p w:rsidR="003D3A00" w:rsidRPr="009D71C9" w:rsidRDefault="002059D9"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hAnsi="Times New Roman" w:cs="Times New Roman"/>
          <w:lang w:val="en-US"/>
        </w:rPr>
        <w:t xml:space="preserve">Furthermore, Figure 4 illustrates the dynamic time-history of the equivalent stress damping response within the panel structure, showing a progressive stabilization after the impact event. </w:t>
      </w:r>
      <w:r w:rsidR="003D3A00" w:rsidRPr="009D71C9">
        <w:rPr>
          <w:rFonts w:ascii="Times New Roman" w:eastAsia="Times New Roman" w:hAnsi="Times New Roman" w:cs="Times New Roman"/>
          <w:sz w:val="20"/>
          <w:szCs w:val="20"/>
          <w:lang w:val="en-US" w:eastAsia="ru-RU"/>
        </w:rPr>
        <w:t xml:space="preserve">To further elucidate the damping mechanism inherent in the polymer core, an analysis of the Viscous Dissipation Energy (ALLVD) for the entire system was conducted (Figure 5). It is observed that during the most active phase of the impact (specifically between the </w:t>
      </w:r>
      <w:r w:rsidR="007604E1" w:rsidRPr="009D71C9">
        <w:rPr>
          <w:rFonts w:ascii="Times New Roman" w:eastAsia="Times New Roman" w:hAnsi="Times New Roman" w:cs="Times New Roman"/>
          <w:sz w:val="20"/>
          <w:szCs w:val="20"/>
          <w:lang w:val="en-US" w:eastAsia="ru-RU"/>
        </w:rPr>
        <w:t xml:space="preserve"> </w:t>
      </w:r>
      <w:r w:rsidR="003D3A00" w:rsidRPr="009D71C9">
        <w:rPr>
          <w:rFonts w:ascii="Times New Roman" w:eastAsia="Times New Roman" w:hAnsi="Times New Roman" w:cs="Times New Roman"/>
          <w:sz w:val="20"/>
          <w:szCs w:val="20"/>
          <w:lang w:val="en-US" w:eastAsia="ru-RU"/>
        </w:rPr>
        <w:t>0.001</w:t>
      </w:r>
      <w:r w:rsidR="007604E1" w:rsidRPr="009D71C9">
        <w:rPr>
          <w:rFonts w:ascii="Times New Roman" w:eastAsia="Times New Roman" w:hAnsi="Times New Roman" w:cs="Times New Roman"/>
          <w:sz w:val="20"/>
          <w:szCs w:val="20"/>
          <w:lang w:val="en-US" w:eastAsia="ru-RU"/>
        </w:rPr>
        <w:t xml:space="preserve"> </w:t>
      </w:r>
      <w:r w:rsidR="003D3A00" w:rsidRPr="009D71C9">
        <w:rPr>
          <w:rFonts w:ascii="Times New Roman" w:eastAsia="Times New Roman" w:hAnsi="Times New Roman" w:cs="Times New Roman"/>
          <w:sz w:val="20"/>
          <w:szCs w:val="20"/>
          <w:lang w:val="en-US" w:eastAsia="ru-RU"/>
        </w:rPr>
        <w:t xml:space="preserve"> s and </w:t>
      </w:r>
      <w:r w:rsidR="007604E1" w:rsidRPr="009D71C9">
        <w:rPr>
          <w:rFonts w:ascii="Times New Roman" w:eastAsia="Times New Roman" w:hAnsi="Times New Roman" w:cs="Times New Roman"/>
          <w:sz w:val="20"/>
          <w:szCs w:val="20"/>
          <w:lang w:val="en-US" w:eastAsia="ru-RU"/>
        </w:rPr>
        <w:t xml:space="preserve"> </w:t>
      </w:r>
      <w:r w:rsidR="003D3A00" w:rsidRPr="009D71C9">
        <w:rPr>
          <w:rFonts w:ascii="Times New Roman" w:eastAsia="Times New Roman" w:hAnsi="Times New Roman" w:cs="Times New Roman"/>
          <w:sz w:val="20"/>
          <w:szCs w:val="20"/>
          <w:lang w:val="en-US" w:eastAsia="ru-RU"/>
        </w:rPr>
        <w:t>0.002</w:t>
      </w:r>
      <w:r w:rsidR="007604E1" w:rsidRPr="009D71C9">
        <w:rPr>
          <w:rFonts w:ascii="Times New Roman" w:eastAsia="Times New Roman" w:hAnsi="Times New Roman" w:cs="Times New Roman"/>
          <w:sz w:val="20"/>
          <w:szCs w:val="20"/>
          <w:lang w:val="en-US" w:eastAsia="ru-RU"/>
        </w:rPr>
        <w:t xml:space="preserve"> </w:t>
      </w:r>
      <w:r w:rsidR="003D3A00" w:rsidRPr="009D71C9">
        <w:rPr>
          <w:rFonts w:ascii="Times New Roman" w:eastAsia="Times New Roman" w:hAnsi="Times New Roman" w:cs="Times New Roman"/>
          <w:sz w:val="20"/>
          <w:szCs w:val="20"/>
          <w:lang w:val="en-US" w:eastAsia="ru-RU"/>
        </w:rPr>
        <w:t xml:space="preserve">s intervals), the energy dissipated by the system increases sharply and subsequently stabilizes at a plateau of approximately </w:t>
      </w:r>
      <w:r w:rsidR="003D3A00" w:rsidRPr="009D71C9">
        <w:rPr>
          <w:rFonts w:ascii="Times New Roman" w:hAnsi="Times New Roman" w:cs="Times New Roman"/>
          <w:position w:val="-6"/>
          <w:sz w:val="20"/>
          <w:szCs w:val="20"/>
        </w:rPr>
        <w:object w:dxaOrig="840" w:dyaOrig="320">
          <v:shape id="_x0000_i1075" type="#_x0000_t75" style="width:42pt;height:16.15pt" o:ole="">
            <v:imagedata r:id="rId110" o:title=""/>
          </v:shape>
          <o:OLEObject Type="Embed" ProgID="Equation.DSMT4" ShapeID="_x0000_i1075" DrawAspect="Content" ObjectID="_1846698175" r:id="rId111"/>
        </w:object>
      </w:r>
      <w:r w:rsidR="003D3A00" w:rsidRPr="009D71C9">
        <w:rPr>
          <w:rFonts w:ascii="Times New Roman" w:eastAsia="Times New Roman" w:hAnsi="Times New Roman" w:cs="Times New Roman"/>
          <w:sz w:val="20"/>
          <w:szCs w:val="20"/>
          <w:lang w:val="en-US" w:eastAsia="ru-RU"/>
        </w:rPr>
        <w:t xml:space="preserve"> J. This energy evolution indicates that a substantial portion of the initial kinetic energy imparted to the panel is efficiently absorbed and </w:t>
      </w:r>
      <w:r w:rsidR="003D3A00" w:rsidRPr="009D71C9">
        <w:rPr>
          <w:rFonts w:ascii="Times New Roman" w:eastAsia="Times New Roman" w:hAnsi="Times New Roman" w:cs="Times New Roman"/>
          <w:sz w:val="20"/>
          <w:szCs w:val="20"/>
          <w:lang w:val="en-US" w:eastAsia="ru-RU"/>
        </w:rPr>
        <w:lastRenderedPageBreak/>
        <w:t>converted into internal friction and heat by the viscoelastic core. This microscopic energy conversion process is directly responsible for the rapid stabilization of macroscopic stress and displacement amplitudes observed in the temporal graphs.</w:t>
      </w:r>
      <w:r w:rsidR="00DB2001" w:rsidRPr="009D71C9">
        <w:rPr>
          <w:rFonts w:ascii="Times New Roman" w:eastAsia="Times New Roman" w:hAnsi="Times New Roman" w:cs="Times New Roman"/>
          <w:sz w:val="20"/>
          <w:szCs w:val="20"/>
          <w:lang w:val="en-US" w:eastAsia="ru-RU"/>
        </w:rPr>
        <w:t xml:space="preserve"> </w:t>
      </w:r>
      <w:r w:rsidR="00DB2001" w:rsidRPr="009D71C9">
        <w:rPr>
          <w:rFonts w:ascii="Times New Roman" w:hAnsi="Times New Roman" w:cs="Times New Roman"/>
          <w:lang w:val="en-US"/>
        </w:rPr>
        <w:t>The dynamic monitoring duration (0–0.01 s) was selected to cover the complete transient response phase, including the initial high-amplitude impact wave and the subsequent complete attenuation of the free vibrations.</w:t>
      </w:r>
    </w:p>
    <w:p w:rsidR="003D3A00" w:rsidRPr="009D71C9" w:rsidRDefault="000812C5" w:rsidP="006907CD">
      <w:pPr>
        <w:spacing w:after="0" w:line="240" w:lineRule="auto"/>
        <w:jc w:val="center"/>
        <w:rPr>
          <w:rFonts w:ascii="Times New Roman" w:eastAsia="Times New Roman" w:hAnsi="Times New Roman" w:cs="Times New Roman"/>
          <w:i/>
          <w:iCs/>
          <w:sz w:val="20"/>
          <w:szCs w:val="20"/>
          <w:lang w:val="en-US" w:eastAsia="ru-RU"/>
        </w:rPr>
      </w:pPr>
      <w:r w:rsidRPr="009D71C9">
        <w:rPr>
          <w:rFonts w:ascii="Times New Roman" w:hAnsi="Times New Roman" w:cs="Times New Roman"/>
          <w:noProof/>
          <w:sz w:val="20"/>
          <w:szCs w:val="20"/>
          <w:lang w:eastAsia="ru-RU"/>
        </w:rPr>
        <w:drawing>
          <wp:inline distT="0" distB="0" distL="0" distR="0" wp14:anchorId="5CB2BCF7" wp14:editId="50082D2A">
            <wp:extent cx="5747272" cy="3065585"/>
            <wp:effectExtent l="0" t="0" r="635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BEBA8EAE-BF5A-486C-A8C5-ECC9F3942E4B}">
                          <a14:imgProps xmlns:a14="http://schemas.microsoft.com/office/drawing/2010/main">
                            <a14:imgLayer r:embed="rId113">
                              <a14:imgEffect>
                                <a14:saturation sat="300000"/>
                              </a14:imgEffect>
                              <a14:imgEffect>
                                <a14:brightnessContrast bright="40000" contrast="40000"/>
                              </a14:imgEffect>
                            </a14:imgLayer>
                          </a14:imgProps>
                        </a:ext>
                      </a:extLst>
                    </a:blip>
                    <a:stretch>
                      <a:fillRect/>
                    </a:stretch>
                  </pic:blipFill>
                  <pic:spPr>
                    <a:xfrm>
                      <a:off x="0" y="0"/>
                      <a:ext cx="5786807" cy="3086673"/>
                    </a:xfrm>
                    <a:prstGeom prst="rect">
                      <a:avLst/>
                    </a:prstGeom>
                  </pic:spPr>
                </pic:pic>
              </a:graphicData>
            </a:graphic>
          </wp:inline>
        </w:drawing>
      </w:r>
    </w:p>
    <w:p w:rsidR="003D3A00" w:rsidRPr="009D71C9" w:rsidRDefault="003D3A00" w:rsidP="006907CD">
      <w:pPr>
        <w:spacing w:after="0" w:line="240" w:lineRule="auto"/>
        <w:rPr>
          <w:rFonts w:ascii="Times New Roman" w:eastAsia="Times New Roman" w:hAnsi="Times New Roman" w:cs="Times New Roman"/>
          <w:b/>
          <w:i/>
          <w:iCs/>
          <w:sz w:val="20"/>
          <w:szCs w:val="20"/>
          <w:lang w:val="en-US" w:eastAsia="ru-RU"/>
        </w:rPr>
      </w:pPr>
      <w:r w:rsidRPr="009D71C9">
        <w:rPr>
          <w:rFonts w:ascii="Times New Roman" w:eastAsia="Times New Roman" w:hAnsi="Times New Roman" w:cs="Times New Roman"/>
          <w:b/>
          <w:i/>
          <w:iCs/>
          <w:sz w:val="20"/>
          <w:szCs w:val="20"/>
          <w:lang w:val="en-US" w:eastAsia="ru-RU"/>
        </w:rPr>
        <w:t>Figure 5. Evolution of Viscous Dissipation Energy (ALLVD) within the polymer core.</w:t>
      </w:r>
    </w:p>
    <w:p w:rsidR="00514708" w:rsidRPr="009D71C9" w:rsidRDefault="00514708" w:rsidP="006907CD">
      <w:pPr>
        <w:spacing w:after="0" w:line="240" w:lineRule="auto"/>
        <w:rPr>
          <w:rFonts w:ascii="Times New Roman" w:eastAsia="Times New Roman" w:hAnsi="Times New Roman" w:cs="Times New Roman"/>
          <w:b/>
          <w:sz w:val="20"/>
          <w:szCs w:val="20"/>
          <w:lang w:val="en-US" w:eastAsia="ru-RU"/>
        </w:rPr>
      </w:pPr>
    </w:p>
    <w:p w:rsidR="003D3A00" w:rsidRPr="009D71C9" w:rsidRDefault="003D3A00"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To establish the reliability of the established finite element model (FEM), a rigorous validation process was performed. The numerical displacement data obtained from Abaqus were compared with the analytical solution derived via MATLAB on a synchronized scale (Figure 6).</w:t>
      </w:r>
    </w:p>
    <w:p w:rsidR="003D3A00" w:rsidRPr="009D71C9" w:rsidRDefault="003D3A00" w:rsidP="006907CD">
      <w:pPr>
        <w:spacing w:after="0" w:line="240" w:lineRule="auto"/>
        <w:jc w:val="center"/>
        <w:rPr>
          <w:rFonts w:ascii="Times New Roman" w:eastAsia="Times New Roman" w:hAnsi="Times New Roman" w:cs="Times New Roman"/>
          <w:i/>
          <w:iCs/>
          <w:sz w:val="20"/>
          <w:szCs w:val="20"/>
          <w:lang w:val="en-US" w:eastAsia="ru-RU"/>
        </w:rPr>
      </w:pPr>
      <w:r w:rsidRPr="009D71C9">
        <w:rPr>
          <w:rFonts w:ascii="Times New Roman" w:hAnsi="Times New Roman" w:cs="Times New Roman"/>
          <w:noProof/>
          <w:sz w:val="20"/>
          <w:szCs w:val="20"/>
          <w:lang w:eastAsia="ru-RU"/>
        </w:rPr>
        <w:drawing>
          <wp:inline distT="0" distB="0" distL="0" distR="0" wp14:anchorId="104E5E1F" wp14:editId="297D91EC">
            <wp:extent cx="5345194" cy="2878015"/>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extLst>
                        <a:ext uri="{BEBA8EAE-BF5A-486C-A8C5-ECC9F3942E4B}">
                          <a14:imgProps xmlns:a14="http://schemas.microsoft.com/office/drawing/2010/main">
                            <a14:imgLayer r:embed="rId115">
                              <a14:imgEffect>
                                <a14:sharpenSoften amount="25000"/>
                              </a14:imgEffect>
                              <a14:imgEffect>
                                <a14:brightnessContrast contrast="-20000"/>
                              </a14:imgEffect>
                            </a14:imgLayer>
                          </a14:imgProps>
                        </a:ext>
                      </a:extLst>
                    </a:blip>
                    <a:stretch>
                      <a:fillRect/>
                    </a:stretch>
                  </pic:blipFill>
                  <pic:spPr>
                    <a:xfrm>
                      <a:off x="0" y="0"/>
                      <a:ext cx="5390839" cy="2902592"/>
                    </a:xfrm>
                    <a:prstGeom prst="rect">
                      <a:avLst/>
                    </a:prstGeom>
                  </pic:spPr>
                </pic:pic>
              </a:graphicData>
            </a:graphic>
          </wp:inline>
        </w:drawing>
      </w:r>
      <w:bookmarkStart w:id="0" w:name="_GoBack"/>
      <w:bookmarkEnd w:id="0"/>
    </w:p>
    <w:p w:rsidR="003D3A00" w:rsidRPr="009D71C9" w:rsidRDefault="003D3A00" w:rsidP="006907CD">
      <w:pPr>
        <w:spacing w:after="0" w:line="240" w:lineRule="auto"/>
        <w:rPr>
          <w:rFonts w:ascii="Times New Roman" w:eastAsia="Times New Roman" w:hAnsi="Times New Roman" w:cs="Times New Roman"/>
          <w:b/>
          <w:i/>
          <w:iCs/>
          <w:sz w:val="20"/>
          <w:szCs w:val="20"/>
          <w:lang w:val="en-US" w:eastAsia="ru-RU"/>
        </w:rPr>
      </w:pPr>
      <w:r w:rsidRPr="009D71C9">
        <w:rPr>
          <w:rFonts w:ascii="Times New Roman" w:eastAsia="Times New Roman" w:hAnsi="Times New Roman" w:cs="Times New Roman"/>
          <w:b/>
          <w:i/>
          <w:iCs/>
          <w:sz w:val="20"/>
          <w:szCs w:val="20"/>
          <w:lang w:val="en-US" w:eastAsia="ru-RU"/>
        </w:rPr>
        <w:t>Figure 6. Comparative validation of the central point displacement: MATLAB (Analytical) vs. Abaqus (Numerical).</w:t>
      </w:r>
    </w:p>
    <w:p w:rsidR="00514708" w:rsidRPr="009D71C9" w:rsidRDefault="00514708" w:rsidP="006907CD">
      <w:pPr>
        <w:spacing w:after="0" w:line="240" w:lineRule="auto"/>
        <w:rPr>
          <w:rFonts w:ascii="Times New Roman" w:eastAsia="Times New Roman" w:hAnsi="Times New Roman" w:cs="Times New Roman"/>
          <w:b/>
          <w:sz w:val="20"/>
          <w:szCs w:val="20"/>
          <w:lang w:val="en-US" w:eastAsia="ru-RU"/>
        </w:rPr>
      </w:pPr>
    </w:p>
    <w:p w:rsidR="003D3A00" w:rsidRPr="009D71C9" w:rsidRDefault="003D3A00" w:rsidP="006907CD">
      <w:p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The comparison illustrated in Figure 6 demonstrates a high degree of convergence between the analytical and numerical trajectories. Both methodologies yield nearly identical vibration frequencies and peak amplit</w:t>
      </w:r>
      <w:r w:rsidR="009A2D3F" w:rsidRPr="009D71C9">
        <w:rPr>
          <w:rFonts w:ascii="Times New Roman" w:eastAsia="Times New Roman" w:hAnsi="Times New Roman" w:cs="Times New Roman"/>
          <w:sz w:val="20"/>
          <w:szCs w:val="20"/>
          <w:lang w:val="en-US" w:eastAsia="ru-RU"/>
        </w:rPr>
        <w:t xml:space="preserve">udes, with the overall </w:t>
      </w:r>
      <w:r w:rsidRPr="009D71C9">
        <w:rPr>
          <w:rFonts w:ascii="Times New Roman" w:eastAsia="Times New Roman" w:hAnsi="Times New Roman" w:cs="Times New Roman"/>
          <w:sz w:val="20"/>
          <w:szCs w:val="20"/>
          <w:lang w:val="en-US" w:eastAsia="ru-RU"/>
        </w:rPr>
        <w:t xml:space="preserve">error remaining consistently below 3 %. This high level of agreement validates the proposed </w:t>
      </w:r>
      <w:r w:rsidRPr="009D71C9">
        <w:rPr>
          <w:rFonts w:ascii="Times New Roman" w:eastAsia="Times New Roman" w:hAnsi="Times New Roman" w:cs="Times New Roman"/>
          <w:sz w:val="20"/>
          <w:szCs w:val="20"/>
          <w:lang w:val="en-US" w:eastAsia="ru-RU"/>
        </w:rPr>
        <w:lastRenderedPageBreak/>
        <w:t>modeling framework and confirms that the methodology is a reliable and accurate tool for the future design of complex aerospace sandwich structures.</w:t>
      </w:r>
    </w:p>
    <w:p w:rsidR="003D3A00" w:rsidRPr="009D71C9" w:rsidRDefault="003D3A00" w:rsidP="006907CD">
      <w:pPr>
        <w:spacing w:after="0" w:line="240" w:lineRule="auto"/>
        <w:outlineLvl w:val="2"/>
        <w:rPr>
          <w:rFonts w:ascii="Times New Roman" w:eastAsia="Times New Roman" w:hAnsi="Times New Roman" w:cs="Times New Roman"/>
          <w:b/>
          <w:bCs/>
          <w:sz w:val="20"/>
          <w:szCs w:val="20"/>
          <w:lang w:eastAsia="ru-RU"/>
        </w:rPr>
      </w:pPr>
      <w:r w:rsidRPr="009D71C9">
        <w:rPr>
          <w:rFonts w:ascii="Times New Roman" w:eastAsia="Times New Roman" w:hAnsi="Times New Roman" w:cs="Times New Roman"/>
          <w:b/>
          <w:bCs/>
          <w:sz w:val="20"/>
          <w:szCs w:val="20"/>
          <w:lang w:eastAsia="ru-RU"/>
        </w:rPr>
        <w:t>4. CONCLUSION</w:t>
      </w:r>
    </w:p>
    <w:p w:rsidR="003D3A00" w:rsidRPr="009D71C9" w:rsidRDefault="003D3A00" w:rsidP="006907CD">
      <w:pPr>
        <w:numPr>
          <w:ilvl w:val="0"/>
          <w:numId w:val="2"/>
        </w:num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The combined analytical and numerical investigations demonstrate that the 1.5–7.0–1.5 mm (Al-Polymer-Al) sandwich configuration represents the optimal structural solution for UAV airframes, providing an excellent balance between mass reduction and dynamic durability.</w:t>
      </w:r>
    </w:p>
    <w:p w:rsidR="003D3A00" w:rsidRPr="009D71C9" w:rsidRDefault="003D3A00" w:rsidP="006907CD">
      <w:pPr>
        <w:numPr>
          <w:ilvl w:val="0"/>
          <w:numId w:val="2"/>
        </w:num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 xml:space="preserve">The implementation of a viscoelastic polymer core enables the dissipation of mechanical energy within an extremely short timeframe </w:t>
      </w:r>
      <w:proofErr w:type="gramStart"/>
      <w:r w:rsidRPr="009D71C9">
        <w:rPr>
          <w:rFonts w:ascii="Times New Roman" w:eastAsia="Times New Roman" w:hAnsi="Times New Roman" w:cs="Times New Roman"/>
          <w:sz w:val="20"/>
          <w:szCs w:val="20"/>
          <w:lang w:val="en-US" w:eastAsia="ru-RU"/>
        </w:rPr>
        <w:t xml:space="preserve">of </w:t>
      </w:r>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0.01</w:t>
      </w:r>
      <w:proofErr w:type="gramEnd"/>
      <w:r w:rsidR="007604E1" w:rsidRPr="009D71C9">
        <w:rPr>
          <w:rFonts w:ascii="Times New Roman" w:eastAsia="Times New Roman" w:hAnsi="Times New Roman" w:cs="Times New Roman"/>
          <w:sz w:val="20"/>
          <w:szCs w:val="20"/>
          <w:lang w:val="en-US" w:eastAsia="ru-RU"/>
        </w:rPr>
        <w:t xml:space="preserve"> </w:t>
      </w:r>
      <w:r w:rsidRPr="009D71C9">
        <w:rPr>
          <w:rFonts w:ascii="Times New Roman" w:eastAsia="Times New Roman" w:hAnsi="Times New Roman" w:cs="Times New Roman"/>
          <w:sz w:val="20"/>
          <w:szCs w:val="20"/>
          <w:lang w:val="en-US" w:eastAsia="ru-RU"/>
        </w:rPr>
        <w:t>s. This high-damping capability effectively shields the vehicle's internal electronics and sensors from both engine-induced vibrations and external kinetic impacts.</w:t>
      </w:r>
    </w:p>
    <w:p w:rsidR="003D3A00" w:rsidRPr="009D71C9" w:rsidRDefault="003D3A00" w:rsidP="006907CD">
      <w:pPr>
        <w:numPr>
          <w:ilvl w:val="0"/>
          <w:numId w:val="2"/>
        </w:numPr>
        <w:spacing w:after="0" w:line="240" w:lineRule="auto"/>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sz w:val="20"/>
          <w:szCs w:val="20"/>
          <w:lang w:val="en-US" w:eastAsia="ru-RU"/>
        </w:rPr>
        <w:t>The minimal deviation (</w:t>
      </w:r>
      <w:r w:rsidRPr="009D71C9">
        <w:rPr>
          <w:rFonts w:ascii="Times New Roman" w:hAnsi="Times New Roman" w:cs="Times New Roman"/>
          <w:position w:val="-6"/>
          <w:sz w:val="20"/>
          <w:szCs w:val="20"/>
        </w:rPr>
        <w:object w:dxaOrig="360" w:dyaOrig="279">
          <v:shape id="_x0000_i1076" type="#_x0000_t75" style="width:18pt;height:13.85pt" o:ole="">
            <v:imagedata r:id="rId116" o:title=""/>
          </v:shape>
          <o:OLEObject Type="Embed" ProgID="Equation.DSMT4" ShapeID="_x0000_i1076" DrawAspect="Content" ObjectID="_1846698176" r:id="rId117"/>
        </w:object>
      </w:r>
      <w:r w:rsidRPr="009D71C9">
        <w:rPr>
          <w:rFonts w:ascii="Times New Roman" w:eastAsia="Times New Roman" w:hAnsi="Times New Roman" w:cs="Times New Roman"/>
          <w:sz w:val="20"/>
          <w:szCs w:val="20"/>
          <w:lang w:val="en-US" w:eastAsia="ru-RU"/>
        </w:rPr>
        <w:t xml:space="preserve"> %) between the MATLAB theoretical results and the Abaqus/Explicit simulations confirms the high precision of the established methodology. This framework is recommended for the preliminary design and structural analysis of high-performance aerospace composite systems.</w:t>
      </w:r>
    </w:p>
    <w:p w:rsidR="009D71C9" w:rsidRPr="004C4455" w:rsidRDefault="009D71C9" w:rsidP="001C0ED2">
      <w:pPr>
        <w:spacing w:after="0" w:line="240" w:lineRule="auto"/>
        <w:outlineLvl w:val="2"/>
        <w:rPr>
          <w:rFonts w:ascii="Times New Roman" w:eastAsia="Times New Roman" w:hAnsi="Times New Roman" w:cs="Times New Roman"/>
          <w:b/>
          <w:bCs/>
          <w:sz w:val="20"/>
          <w:szCs w:val="20"/>
          <w:lang w:val="en-US" w:eastAsia="ru-RU"/>
        </w:rPr>
      </w:pPr>
    </w:p>
    <w:p w:rsidR="001C0ED2" w:rsidRPr="009D71C9" w:rsidRDefault="001C0ED2" w:rsidP="001C0ED2">
      <w:pPr>
        <w:spacing w:after="0" w:line="240" w:lineRule="auto"/>
        <w:outlineLvl w:val="2"/>
        <w:rPr>
          <w:rFonts w:ascii="Times New Roman" w:eastAsia="Times New Roman" w:hAnsi="Times New Roman" w:cs="Times New Roman"/>
          <w:b/>
          <w:bCs/>
          <w:sz w:val="20"/>
          <w:szCs w:val="20"/>
          <w:lang w:eastAsia="ru-RU"/>
        </w:rPr>
      </w:pPr>
      <w:r w:rsidRPr="009D71C9">
        <w:rPr>
          <w:rFonts w:ascii="Times New Roman" w:eastAsia="Times New Roman" w:hAnsi="Times New Roman" w:cs="Times New Roman"/>
          <w:b/>
          <w:bCs/>
          <w:sz w:val="20"/>
          <w:szCs w:val="20"/>
          <w:lang w:eastAsia="ru-RU"/>
        </w:rPr>
        <w:t>REFERENCES</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Abbeed, M. S., et al.</w:t>
      </w:r>
      <w:r w:rsidRPr="009D71C9">
        <w:rPr>
          <w:rFonts w:ascii="Times New Roman" w:eastAsia="Times New Roman" w:hAnsi="Times New Roman" w:cs="Times New Roman"/>
          <w:sz w:val="20"/>
          <w:szCs w:val="20"/>
          <w:lang w:val="en-US" w:eastAsia="ru-RU"/>
        </w:rPr>
        <w:t xml:space="preserve"> (2020). Vibration and damping analysis of sandwich plates with viscoelastic core. </w:t>
      </w:r>
      <w:r w:rsidRPr="009D71C9">
        <w:rPr>
          <w:rFonts w:ascii="Times New Roman" w:eastAsia="Times New Roman" w:hAnsi="Times New Roman" w:cs="Times New Roman"/>
          <w:i/>
          <w:iCs/>
          <w:sz w:val="20"/>
          <w:szCs w:val="20"/>
          <w:lang w:val="en-US" w:eastAsia="ru-RU"/>
        </w:rPr>
        <w:t>Journal of Sandwich Structures &amp; Materials</w:t>
      </w:r>
      <w:r w:rsidRPr="009D71C9">
        <w:rPr>
          <w:rFonts w:ascii="Times New Roman" w:eastAsia="Times New Roman" w:hAnsi="Times New Roman" w:cs="Times New Roman"/>
          <w:sz w:val="20"/>
          <w:szCs w:val="20"/>
          <w:lang w:val="en-US" w:eastAsia="ru-RU"/>
        </w:rPr>
        <w:t>.</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Allen, H. G.</w:t>
      </w:r>
      <w:r w:rsidRPr="009D71C9">
        <w:rPr>
          <w:rFonts w:ascii="Times New Roman" w:eastAsia="Times New Roman" w:hAnsi="Times New Roman" w:cs="Times New Roman"/>
          <w:sz w:val="20"/>
          <w:szCs w:val="20"/>
          <w:lang w:val="en-US" w:eastAsia="ru-RU"/>
        </w:rPr>
        <w:t xml:space="preserve"> (1969). </w:t>
      </w:r>
      <w:r w:rsidRPr="009D71C9">
        <w:rPr>
          <w:rFonts w:ascii="Times New Roman" w:eastAsia="Times New Roman" w:hAnsi="Times New Roman" w:cs="Times New Roman"/>
          <w:i/>
          <w:iCs/>
          <w:sz w:val="20"/>
          <w:szCs w:val="20"/>
          <w:lang w:val="en-US" w:eastAsia="ru-RU"/>
        </w:rPr>
        <w:t>Analysis and Design of Structural Sandwich Panels</w:t>
      </w:r>
      <w:r w:rsidRPr="009D71C9">
        <w:rPr>
          <w:rFonts w:ascii="Times New Roman" w:eastAsia="Times New Roman" w:hAnsi="Times New Roman" w:cs="Times New Roman"/>
          <w:sz w:val="20"/>
          <w:szCs w:val="20"/>
          <w:lang w:val="en-US" w:eastAsia="ru-RU"/>
        </w:rPr>
        <w:t>. Oxford: Pergamon Press.</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 xml:space="preserve">Boltayev, Z. I., </w:t>
      </w:r>
      <w:proofErr w:type="gramStart"/>
      <w:r w:rsidRPr="009D71C9">
        <w:rPr>
          <w:rFonts w:ascii="Times New Roman" w:eastAsia="Times New Roman" w:hAnsi="Times New Roman" w:cs="Times New Roman"/>
          <w:b/>
          <w:bCs/>
          <w:sz w:val="20"/>
          <w:szCs w:val="20"/>
          <w:lang w:val="en-US" w:eastAsia="ru-RU"/>
        </w:rPr>
        <w:t>Ro‘</w:t>
      </w:r>
      <w:proofErr w:type="gramEnd"/>
      <w:r w:rsidRPr="009D71C9">
        <w:rPr>
          <w:rFonts w:ascii="Times New Roman" w:eastAsia="Times New Roman" w:hAnsi="Times New Roman" w:cs="Times New Roman"/>
          <w:b/>
          <w:bCs/>
          <w:sz w:val="20"/>
          <w:szCs w:val="20"/>
          <w:lang w:val="en-US" w:eastAsia="ru-RU"/>
        </w:rPr>
        <w:t>ziyev, T. R., &amp; Shomurodov, N. A.</w:t>
      </w:r>
      <w:r w:rsidRPr="009D71C9">
        <w:rPr>
          <w:rFonts w:ascii="Times New Roman" w:eastAsia="Times New Roman" w:hAnsi="Times New Roman" w:cs="Times New Roman"/>
          <w:sz w:val="20"/>
          <w:szCs w:val="20"/>
          <w:lang w:val="en-US" w:eastAsia="ru-RU"/>
        </w:rPr>
        <w:t xml:space="preserve"> (2026). Deformation state of elastic plates under impact loading. </w:t>
      </w:r>
      <w:r w:rsidRPr="009D71C9">
        <w:rPr>
          <w:rFonts w:ascii="Times New Roman" w:eastAsia="Times New Roman" w:hAnsi="Times New Roman" w:cs="Times New Roman"/>
          <w:i/>
          <w:iCs/>
          <w:sz w:val="20"/>
          <w:szCs w:val="20"/>
          <w:lang w:val="en-US" w:eastAsia="ru-RU"/>
        </w:rPr>
        <w:t>Scientific Reports of Bukhara State University</w:t>
      </w:r>
      <w:r w:rsidRPr="009D71C9">
        <w:rPr>
          <w:rFonts w:ascii="Times New Roman" w:eastAsia="Times New Roman" w:hAnsi="Times New Roman" w:cs="Times New Roman"/>
          <w:sz w:val="20"/>
          <w:szCs w:val="20"/>
          <w:lang w:val="en-US" w:eastAsia="ru-RU"/>
        </w:rPr>
        <w:t>.</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Dassault Systèmes.</w:t>
      </w:r>
      <w:r w:rsidRPr="009D71C9">
        <w:rPr>
          <w:rFonts w:ascii="Times New Roman" w:eastAsia="Times New Roman" w:hAnsi="Times New Roman" w:cs="Times New Roman"/>
          <w:sz w:val="20"/>
          <w:szCs w:val="20"/>
          <w:lang w:val="en-US" w:eastAsia="ru-RU"/>
        </w:rPr>
        <w:t xml:space="preserve"> (2024). </w:t>
      </w:r>
      <w:r w:rsidRPr="009D71C9">
        <w:rPr>
          <w:rFonts w:ascii="Times New Roman" w:eastAsia="Times New Roman" w:hAnsi="Times New Roman" w:cs="Times New Roman"/>
          <w:i/>
          <w:iCs/>
          <w:sz w:val="20"/>
          <w:szCs w:val="20"/>
          <w:lang w:val="en-US" w:eastAsia="ru-RU"/>
        </w:rPr>
        <w:t>Abaqus Analysis User's Guide (v.2024)</w:t>
      </w:r>
      <w:r w:rsidRPr="009D71C9">
        <w:rPr>
          <w:rFonts w:ascii="Times New Roman" w:eastAsia="Times New Roman" w:hAnsi="Times New Roman" w:cs="Times New Roman"/>
          <w:sz w:val="20"/>
          <w:szCs w:val="20"/>
          <w:lang w:val="en-US" w:eastAsia="ru-RU"/>
        </w:rPr>
        <w:t>.</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Gibson, L. J., &amp; Ashby, M. F.</w:t>
      </w:r>
      <w:r w:rsidRPr="009D71C9">
        <w:rPr>
          <w:rFonts w:ascii="Times New Roman" w:eastAsia="Times New Roman" w:hAnsi="Times New Roman" w:cs="Times New Roman"/>
          <w:sz w:val="20"/>
          <w:szCs w:val="20"/>
          <w:lang w:val="en-US" w:eastAsia="ru-RU"/>
        </w:rPr>
        <w:t xml:space="preserve"> (1997). </w:t>
      </w:r>
      <w:r w:rsidRPr="009D71C9">
        <w:rPr>
          <w:rFonts w:ascii="Times New Roman" w:eastAsia="Times New Roman" w:hAnsi="Times New Roman" w:cs="Times New Roman"/>
          <w:i/>
          <w:iCs/>
          <w:sz w:val="20"/>
          <w:szCs w:val="20"/>
          <w:lang w:val="en-US" w:eastAsia="ru-RU"/>
        </w:rPr>
        <w:t>Cellular Solids: Structure and Properties</w:t>
      </w:r>
      <w:r w:rsidRPr="009D71C9">
        <w:rPr>
          <w:rFonts w:ascii="Times New Roman" w:eastAsia="Times New Roman" w:hAnsi="Times New Roman" w:cs="Times New Roman"/>
          <w:sz w:val="20"/>
          <w:szCs w:val="20"/>
          <w:lang w:val="en-US" w:eastAsia="ru-RU"/>
        </w:rPr>
        <w:t>. Cambridge University Press.</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Karimov, I. M.</w:t>
      </w:r>
      <w:r w:rsidRPr="009D71C9">
        <w:rPr>
          <w:rFonts w:ascii="Times New Roman" w:eastAsia="Times New Roman" w:hAnsi="Times New Roman" w:cs="Times New Roman"/>
          <w:sz w:val="20"/>
          <w:szCs w:val="20"/>
          <w:lang w:val="en-US" w:eastAsia="ru-RU"/>
        </w:rPr>
        <w:t xml:space="preserve"> (2025). High-velocity impact of a steel ball on a two-layer plate. </w:t>
      </w:r>
      <w:r w:rsidRPr="009D71C9">
        <w:rPr>
          <w:rFonts w:ascii="Times New Roman" w:eastAsia="Times New Roman" w:hAnsi="Times New Roman" w:cs="Times New Roman"/>
          <w:i/>
          <w:iCs/>
          <w:sz w:val="20"/>
          <w:szCs w:val="20"/>
          <w:lang w:val="en-US" w:eastAsia="ru-RU"/>
        </w:rPr>
        <w:t>Theoretical &amp; Applied Science</w:t>
      </w:r>
      <w:r w:rsidRPr="009D71C9">
        <w:rPr>
          <w:rFonts w:ascii="Times New Roman" w:eastAsia="Times New Roman" w:hAnsi="Times New Roman" w:cs="Times New Roman"/>
          <w:sz w:val="20"/>
          <w:szCs w:val="20"/>
          <w:lang w:val="en-US" w:eastAsia="ru-RU"/>
        </w:rPr>
        <w:t>.</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val="en-US" w:eastAsia="ru-RU"/>
        </w:rPr>
      </w:pPr>
      <w:r w:rsidRPr="009D71C9">
        <w:rPr>
          <w:rFonts w:ascii="Times New Roman" w:eastAsia="Times New Roman" w:hAnsi="Times New Roman" w:cs="Times New Roman"/>
          <w:b/>
          <w:bCs/>
          <w:sz w:val="20"/>
          <w:szCs w:val="20"/>
          <w:lang w:val="en-US" w:eastAsia="ru-RU"/>
        </w:rPr>
        <w:t>Rakhmanov, B., Akhmedov, S., Karimov, I., &amp; Choriev, M.</w:t>
      </w:r>
      <w:r w:rsidRPr="009D71C9">
        <w:rPr>
          <w:rFonts w:ascii="Times New Roman" w:eastAsia="Times New Roman" w:hAnsi="Times New Roman" w:cs="Times New Roman"/>
          <w:sz w:val="20"/>
          <w:szCs w:val="20"/>
          <w:lang w:val="en-US" w:eastAsia="ru-RU"/>
        </w:rPr>
        <w:t xml:space="preserve"> (2023). Non-axisymmetric problems of unsteady deformation of cylindrical shells with filler. </w:t>
      </w:r>
      <w:r w:rsidRPr="009D71C9">
        <w:rPr>
          <w:rFonts w:ascii="Times New Roman" w:eastAsia="Times New Roman" w:hAnsi="Times New Roman" w:cs="Times New Roman"/>
          <w:i/>
          <w:iCs/>
          <w:sz w:val="20"/>
          <w:szCs w:val="20"/>
          <w:lang w:val="en-US" w:eastAsia="ru-RU"/>
        </w:rPr>
        <w:t>E3S Web of Conferences</w:t>
      </w:r>
      <w:r w:rsidRPr="009D71C9">
        <w:rPr>
          <w:rFonts w:ascii="Times New Roman" w:eastAsia="Times New Roman" w:hAnsi="Times New Roman" w:cs="Times New Roman"/>
          <w:sz w:val="20"/>
          <w:szCs w:val="20"/>
          <w:lang w:val="en-US" w:eastAsia="ru-RU"/>
        </w:rPr>
        <w:t>.</w:t>
      </w:r>
    </w:p>
    <w:p w:rsidR="001C0ED2" w:rsidRPr="009D71C9" w:rsidRDefault="001C0ED2" w:rsidP="001C0ED2">
      <w:pPr>
        <w:pStyle w:val="a4"/>
        <w:numPr>
          <w:ilvl w:val="1"/>
          <w:numId w:val="3"/>
        </w:numPr>
        <w:spacing w:after="0" w:line="240" w:lineRule="auto"/>
        <w:ind w:left="709" w:hanging="357"/>
        <w:jc w:val="both"/>
        <w:rPr>
          <w:rFonts w:ascii="Times New Roman" w:eastAsia="Times New Roman" w:hAnsi="Times New Roman" w:cs="Times New Roman"/>
          <w:sz w:val="20"/>
          <w:szCs w:val="20"/>
          <w:lang w:eastAsia="ru-RU"/>
        </w:rPr>
      </w:pPr>
      <w:r w:rsidRPr="009D71C9">
        <w:rPr>
          <w:rFonts w:ascii="Times New Roman" w:eastAsia="Times New Roman" w:hAnsi="Times New Roman" w:cs="Times New Roman"/>
          <w:b/>
          <w:bCs/>
          <w:sz w:val="20"/>
          <w:szCs w:val="20"/>
          <w:lang w:val="en-US" w:eastAsia="ru-RU"/>
        </w:rPr>
        <w:t>Zhu, S., &amp; Sun, C. T.</w:t>
      </w:r>
      <w:r w:rsidRPr="009D71C9">
        <w:rPr>
          <w:rFonts w:ascii="Times New Roman" w:eastAsia="Times New Roman" w:hAnsi="Times New Roman" w:cs="Times New Roman"/>
          <w:sz w:val="20"/>
          <w:szCs w:val="20"/>
          <w:lang w:val="en-US" w:eastAsia="ru-RU"/>
        </w:rPr>
        <w:t xml:space="preserve"> (2014). Impact response of aluminum honeycomb sandwich panels with polymer reinforcement. </w:t>
      </w:r>
      <w:r w:rsidRPr="009D71C9">
        <w:rPr>
          <w:rFonts w:ascii="Times New Roman" w:eastAsia="Times New Roman" w:hAnsi="Times New Roman" w:cs="Times New Roman"/>
          <w:i/>
          <w:iCs/>
          <w:sz w:val="20"/>
          <w:szCs w:val="20"/>
          <w:lang w:eastAsia="ru-RU"/>
        </w:rPr>
        <w:t>Composite Structures</w:t>
      </w:r>
      <w:r w:rsidRPr="009D71C9">
        <w:rPr>
          <w:rFonts w:ascii="Times New Roman" w:eastAsia="Times New Roman" w:hAnsi="Times New Roman" w:cs="Times New Roman"/>
          <w:sz w:val="20"/>
          <w:szCs w:val="20"/>
          <w:lang w:eastAsia="ru-RU"/>
        </w:rPr>
        <w:t>.</w:t>
      </w:r>
    </w:p>
    <w:p w:rsidR="001C0ED2" w:rsidRPr="009D71C9" w:rsidRDefault="001C0ED2" w:rsidP="001C0ED2">
      <w:pPr>
        <w:spacing w:after="0" w:line="240" w:lineRule="auto"/>
        <w:ind w:left="360"/>
        <w:jc w:val="both"/>
        <w:rPr>
          <w:rFonts w:ascii="Times New Roman" w:eastAsia="Times New Roman" w:hAnsi="Times New Roman" w:cs="Times New Roman"/>
          <w:sz w:val="20"/>
          <w:szCs w:val="20"/>
          <w:lang w:val="en-US" w:eastAsia="ru-RU"/>
        </w:rPr>
      </w:pPr>
    </w:p>
    <w:sectPr w:rsidR="001C0ED2" w:rsidRPr="009D71C9" w:rsidSect="009A2D3F">
      <w:pgSz w:w="11906" w:h="16838"/>
      <w:pgMar w:top="1701" w:right="1418"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C37E8"/>
    <w:multiLevelType w:val="multilevel"/>
    <w:tmpl w:val="F146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F848EF"/>
    <w:multiLevelType w:val="hybridMultilevel"/>
    <w:tmpl w:val="917E229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4780272"/>
    <w:multiLevelType w:val="multilevel"/>
    <w:tmpl w:val="0534E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F49AE"/>
    <w:multiLevelType w:val="multilevel"/>
    <w:tmpl w:val="DD583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CB5E44"/>
    <w:multiLevelType w:val="multilevel"/>
    <w:tmpl w:val="34E4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E84F76"/>
    <w:multiLevelType w:val="multilevel"/>
    <w:tmpl w:val="642C4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D99"/>
    <w:rsid w:val="000812C5"/>
    <w:rsid w:val="001405DA"/>
    <w:rsid w:val="001C0ED2"/>
    <w:rsid w:val="002059D9"/>
    <w:rsid w:val="002C718B"/>
    <w:rsid w:val="002D2D99"/>
    <w:rsid w:val="003367F8"/>
    <w:rsid w:val="00366A5C"/>
    <w:rsid w:val="00385F2A"/>
    <w:rsid w:val="003D3A00"/>
    <w:rsid w:val="0045188C"/>
    <w:rsid w:val="004648C8"/>
    <w:rsid w:val="004B710A"/>
    <w:rsid w:val="004C4455"/>
    <w:rsid w:val="00514708"/>
    <w:rsid w:val="005F2BF4"/>
    <w:rsid w:val="006526E3"/>
    <w:rsid w:val="006907CD"/>
    <w:rsid w:val="00711040"/>
    <w:rsid w:val="007604E1"/>
    <w:rsid w:val="00795DFB"/>
    <w:rsid w:val="008976B9"/>
    <w:rsid w:val="009226B7"/>
    <w:rsid w:val="009A2D3F"/>
    <w:rsid w:val="009A6D98"/>
    <w:rsid w:val="009D71C9"/>
    <w:rsid w:val="009E761E"/>
    <w:rsid w:val="00A95961"/>
    <w:rsid w:val="00B335CC"/>
    <w:rsid w:val="00B5723E"/>
    <w:rsid w:val="00B83E0F"/>
    <w:rsid w:val="00B957C6"/>
    <w:rsid w:val="00C6765C"/>
    <w:rsid w:val="00CE058B"/>
    <w:rsid w:val="00DB2001"/>
    <w:rsid w:val="00F354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3909F-722F-47C6-B0DD-C15A58F8B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D2D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366A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366A5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2D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D2D99"/>
    <w:rPr>
      <w:rFonts w:ascii="Times New Roman" w:eastAsia="Times New Roman" w:hAnsi="Times New Roman" w:cs="Times New Roman"/>
      <w:b/>
      <w:bCs/>
      <w:kern w:val="36"/>
      <w:sz w:val="48"/>
      <w:szCs w:val="48"/>
      <w:lang w:eastAsia="ru-RU"/>
    </w:rPr>
  </w:style>
  <w:style w:type="character" w:customStyle="1" w:styleId="math-inline">
    <w:name w:val="math-inline"/>
    <w:basedOn w:val="a0"/>
    <w:rsid w:val="002D2D99"/>
  </w:style>
  <w:style w:type="paragraph" w:customStyle="1" w:styleId="MTDisplayEquation">
    <w:name w:val="MTDisplayEquation"/>
    <w:basedOn w:val="a"/>
    <w:next w:val="a"/>
    <w:link w:val="MTDisplayEquation0"/>
    <w:rsid w:val="00366A5C"/>
    <w:pPr>
      <w:tabs>
        <w:tab w:val="center" w:pos="4680"/>
        <w:tab w:val="right" w:pos="9360"/>
      </w:tabs>
      <w:spacing w:before="100" w:beforeAutospacing="1" w:after="100" w:afterAutospacing="1" w:line="240" w:lineRule="auto"/>
      <w:jc w:val="both"/>
    </w:pPr>
    <w:rPr>
      <w:rFonts w:ascii="Times New Roman" w:eastAsia="Times New Roman" w:hAnsi="Times New Roman" w:cs="Times New Roman"/>
      <w:sz w:val="24"/>
      <w:szCs w:val="24"/>
      <w:lang w:val="en-US" w:eastAsia="ru-RU"/>
    </w:rPr>
  </w:style>
  <w:style w:type="character" w:customStyle="1" w:styleId="MTDisplayEquation0">
    <w:name w:val="MTDisplayEquation Знак"/>
    <w:basedOn w:val="a0"/>
    <w:link w:val="MTDisplayEquation"/>
    <w:rsid w:val="00366A5C"/>
    <w:rPr>
      <w:rFonts w:ascii="Times New Roman" w:eastAsia="Times New Roman" w:hAnsi="Times New Roman" w:cs="Times New Roman"/>
      <w:sz w:val="24"/>
      <w:szCs w:val="24"/>
      <w:lang w:val="en-US" w:eastAsia="ru-RU"/>
    </w:rPr>
  </w:style>
  <w:style w:type="character" w:customStyle="1" w:styleId="30">
    <w:name w:val="Заголовок 3 Знак"/>
    <w:basedOn w:val="a0"/>
    <w:link w:val="3"/>
    <w:uiPriority w:val="9"/>
    <w:rsid w:val="00366A5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366A5C"/>
    <w:rPr>
      <w:rFonts w:asciiTheme="majorHAnsi" w:eastAsiaTheme="majorEastAsia" w:hAnsiTheme="majorHAnsi" w:cstheme="majorBidi"/>
      <w:i/>
      <w:iCs/>
      <w:color w:val="2E74B5" w:themeColor="accent1" w:themeShade="BF"/>
    </w:rPr>
  </w:style>
  <w:style w:type="paragraph" w:styleId="a4">
    <w:name w:val="List Paragraph"/>
    <w:basedOn w:val="a"/>
    <w:uiPriority w:val="34"/>
    <w:qFormat/>
    <w:rsid w:val="009A2D3F"/>
    <w:pPr>
      <w:ind w:left="720"/>
      <w:contextualSpacing/>
    </w:pPr>
  </w:style>
  <w:style w:type="character" w:styleId="a5">
    <w:name w:val="Hyperlink"/>
    <w:basedOn w:val="a0"/>
    <w:uiPriority w:val="99"/>
    <w:unhideWhenUsed/>
    <w:rsid w:val="007604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3752">
      <w:bodyDiv w:val="1"/>
      <w:marLeft w:val="0"/>
      <w:marRight w:val="0"/>
      <w:marTop w:val="0"/>
      <w:marBottom w:val="0"/>
      <w:divBdr>
        <w:top w:val="none" w:sz="0" w:space="0" w:color="auto"/>
        <w:left w:val="none" w:sz="0" w:space="0" w:color="auto"/>
        <w:bottom w:val="none" w:sz="0" w:space="0" w:color="auto"/>
        <w:right w:val="none" w:sz="0" w:space="0" w:color="auto"/>
      </w:divBdr>
    </w:div>
    <w:div w:id="259025736">
      <w:bodyDiv w:val="1"/>
      <w:marLeft w:val="0"/>
      <w:marRight w:val="0"/>
      <w:marTop w:val="0"/>
      <w:marBottom w:val="0"/>
      <w:divBdr>
        <w:top w:val="none" w:sz="0" w:space="0" w:color="auto"/>
        <w:left w:val="none" w:sz="0" w:space="0" w:color="auto"/>
        <w:bottom w:val="none" w:sz="0" w:space="0" w:color="auto"/>
        <w:right w:val="none" w:sz="0" w:space="0" w:color="auto"/>
      </w:divBdr>
    </w:div>
    <w:div w:id="268902578">
      <w:bodyDiv w:val="1"/>
      <w:marLeft w:val="0"/>
      <w:marRight w:val="0"/>
      <w:marTop w:val="0"/>
      <w:marBottom w:val="0"/>
      <w:divBdr>
        <w:top w:val="none" w:sz="0" w:space="0" w:color="auto"/>
        <w:left w:val="none" w:sz="0" w:space="0" w:color="auto"/>
        <w:bottom w:val="none" w:sz="0" w:space="0" w:color="auto"/>
        <w:right w:val="none" w:sz="0" w:space="0" w:color="auto"/>
      </w:divBdr>
    </w:div>
    <w:div w:id="433979428">
      <w:bodyDiv w:val="1"/>
      <w:marLeft w:val="0"/>
      <w:marRight w:val="0"/>
      <w:marTop w:val="0"/>
      <w:marBottom w:val="0"/>
      <w:divBdr>
        <w:top w:val="none" w:sz="0" w:space="0" w:color="auto"/>
        <w:left w:val="none" w:sz="0" w:space="0" w:color="auto"/>
        <w:bottom w:val="none" w:sz="0" w:space="0" w:color="auto"/>
        <w:right w:val="none" w:sz="0" w:space="0" w:color="auto"/>
      </w:divBdr>
    </w:div>
    <w:div w:id="463163082">
      <w:bodyDiv w:val="1"/>
      <w:marLeft w:val="0"/>
      <w:marRight w:val="0"/>
      <w:marTop w:val="0"/>
      <w:marBottom w:val="0"/>
      <w:divBdr>
        <w:top w:val="none" w:sz="0" w:space="0" w:color="auto"/>
        <w:left w:val="none" w:sz="0" w:space="0" w:color="auto"/>
        <w:bottom w:val="none" w:sz="0" w:space="0" w:color="auto"/>
        <w:right w:val="none" w:sz="0" w:space="0" w:color="auto"/>
      </w:divBdr>
    </w:div>
    <w:div w:id="538319810">
      <w:bodyDiv w:val="1"/>
      <w:marLeft w:val="0"/>
      <w:marRight w:val="0"/>
      <w:marTop w:val="0"/>
      <w:marBottom w:val="0"/>
      <w:divBdr>
        <w:top w:val="none" w:sz="0" w:space="0" w:color="auto"/>
        <w:left w:val="none" w:sz="0" w:space="0" w:color="auto"/>
        <w:bottom w:val="none" w:sz="0" w:space="0" w:color="auto"/>
        <w:right w:val="none" w:sz="0" w:space="0" w:color="auto"/>
      </w:divBdr>
    </w:div>
    <w:div w:id="710879667">
      <w:bodyDiv w:val="1"/>
      <w:marLeft w:val="0"/>
      <w:marRight w:val="0"/>
      <w:marTop w:val="0"/>
      <w:marBottom w:val="0"/>
      <w:divBdr>
        <w:top w:val="none" w:sz="0" w:space="0" w:color="auto"/>
        <w:left w:val="none" w:sz="0" w:space="0" w:color="auto"/>
        <w:bottom w:val="none" w:sz="0" w:space="0" w:color="auto"/>
        <w:right w:val="none" w:sz="0" w:space="0" w:color="auto"/>
      </w:divBdr>
    </w:div>
    <w:div w:id="1087113192">
      <w:bodyDiv w:val="1"/>
      <w:marLeft w:val="0"/>
      <w:marRight w:val="0"/>
      <w:marTop w:val="0"/>
      <w:marBottom w:val="0"/>
      <w:divBdr>
        <w:top w:val="none" w:sz="0" w:space="0" w:color="auto"/>
        <w:left w:val="none" w:sz="0" w:space="0" w:color="auto"/>
        <w:bottom w:val="none" w:sz="0" w:space="0" w:color="auto"/>
        <w:right w:val="none" w:sz="0" w:space="0" w:color="auto"/>
      </w:divBdr>
    </w:div>
    <w:div w:id="1356537099">
      <w:bodyDiv w:val="1"/>
      <w:marLeft w:val="0"/>
      <w:marRight w:val="0"/>
      <w:marTop w:val="0"/>
      <w:marBottom w:val="0"/>
      <w:divBdr>
        <w:top w:val="none" w:sz="0" w:space="0" w:color="auto"/>
        <w:left w:val="none" w:sz="0" w:space="0" w:color="auto"/>
        <w:bottom w:val="none" w:sz="0" w:space="0" w:color="auto"/>
        <w:right w:val="none" w:sz="0" w:space="0" w:color="auto"/>
      </w:divBdr>
    </w:div>
    <w:div w:id="1866091138">
      <w:bodyDiv w:val="1"/>
      <w:marLeft w:val="0"/>
      <w:marRight w:val="0"/>
      <w:marTop w:val="0"/>
      <w:marBottom w:val="0"/>
      <w:divBdr>
        <w:top w:val="none" w:sz="0" w:space="0" w:color="auto"/>
        <w:left w:val="none" w:sz="0" w:space="0" w:color="auto"/>
        <w:bottom w:val="none" w:sz="0" w:space="0" w:color="auto"/>
        <w:right w:val="none" w:sz="0" w:space="0" w:color="auto"/>
      </w:divBdr>
    </w:div>
    <w:div w:id="2025787870">
      <w:bodyDiv w:val="1"/>
      <w:marLeft w:val="0"/>
      <w:marRight w:val="0"/>
      <w:marTop w:val="0"/>
      <w:marBottom w:val="0"/>
      <w:divBdr>
        <w:top w:val="none" w:sz="0" w:space="0" w:color="auto"/>
        <w:left w:val="none" w:sz="0" w:space="0" w:color="auto"/>
        <w:bottom w:val="none" w:sz="0" w:space="0" w:color="auto"/>
        <w:right w:val="none" w:sz="0" w:space="0" w:color="auto"/>
      </w:divBdr>
      <w:divsChild>
        <w:div w:id="1789398973">
          <w:marLeft w:val="0"/>
          <w:marRight w:val="0"/>
          <w:marTop w:val="0"/>
          <w:marBottom w:val="0"/>
          <w:divBdr>
            <w:top w:val="none" w:sz="0" w:space="0" w:color="auto"/>
            <w:left w:val="none" w:sz="0" w:space="0" w:color="auto"/>
            <w:bottom w:val="none" w:sz="0" w:space="0" w:color="auto"/>
            <w:right w:val="none" w:sz="0" w:space="0" w:color="auto"/>
          </w:divBdr>
          <w:divsChild>
            <w:div w:id="1896157415">
              <w:marLeft w:val="0"/>
              <w:marRight w:val="0"/>
              <w:marTop w:val="0"/>
              <w:marBottom w:val="0"/>
              <w:divBdr>
                <w:top w:val="none" w:sz="0" w:space="0" w:color="auto"/>
                <w:left w:val="none" w:sz="0" w:space="0" w:color="auto"/>
                <w:bottom w:val="none" w:sz="0" w:space="0" w:color="auto"/>
                <w:right w:val="none" w:sz="0" w:space="0" w:color="auto"/>
              </w:divBdr>
            </w:div>
          </w:divsChild>
        </w:div>
        <w:div w:id="792284911">
          <w:marLeft w:val="0"/>
          <w:marRight w:val="0"/>
          <w:marTop w:val="0"/>
          <w:marBottom w:val="0"/>
          <w:divBdr>
            <w:top w:val="none" w:sz="0" w:space="0" w:color="auto"/>
            <w:left w:val="none" w:sz="0" w:space="0" w:color="auto"/>
            <w:bottom w:val="none" w:sz="0" w:space="0" w:color="auto"/>
            <w:right w:val="none" w:sz="0" w:space="0" w:color="auto"/>
          </w:divBdr>
          <w:divsChild>
            <w:div w:id="1270241561">
              <w:marLeft w:val="0"/>
              <w:marRight w:val="0"/>
              <w:marTop w:val="0"/>
              <w:marBottom w:val="0"/>
              <w:divBdr>
                <w:top w:val="none" w:sz="0" w:space="0" w:color="auto"/>
                <w:left w:val="none" w:sz="0" w:space="0" w:color="auto"/>
                <w:bottom w:val="none" w:sz="0" w:space="0" w:color="auto"/>
                <w:right w:val="none" w:sz="0" w:space="0" w:color="auto"/>
              </w:divBdr>
            </w:div>
          </w:divsChild>
        </w:div>
        <w:div w:id="1077479383">
          <w:marLeft w:val="0"/>
          <w:marRight w:val="0"/>
          <w:marTop w:val="0"/>
          <w:marBottom w:val="0"/>
          <w:divBdr>
            <w:top w:val="none" w:sz="0" w:space="0" w:color="auto"/>
            <w:left w:val="none" w:sz="0" w:space="0" w:color="auto"/>
            <w:bottom w:val="none" w:sz="0" w:space="0" w:color="auto"/>
            <w:right w:val="none" w:sz="0" w:space="0" w:color="auto"/>
          </w:divBdr>
          <w:divsChild>
            <w:div w:id="550188621">
              <w:marLeft w:val="0"/>
              <w:marRight w:val="0"/>
              <w:marTop w:val="0"/>
              <w:marBottom w:val="0"/>
              <w:divBdr>
                <w:top w:val="none" w:sz="0" w:space="0" w:color="auto"/>
                <w:left w:val="none" w:sz="0" w:space="0" w:color="auto"/>
                <w:bottom w:val="none" w:sz="0" w:space="0" w:color="auto"/>
                <w:right w:val="none" w:sz="0" w:space="0" w:color="auto"/>
              </w:divBdr>
            </w:div>
          </w:divsChild>
        </w:div>
        <w:div w:id="899906175">
          <w:marLeft w:val="0"/>
          <w:marRight w:val="0"/>
          <w:marTop w:val="0"/>
          <w:marBottom w:val="0"/>
          <w:divBdr>
            <w:top w:val="none" w:sz="0" w:space="0" w:color="auto"/>
            <w:left w:val="none" w:sz="0" w:space="0" w:color="auto"/>
            <w:bottom w:val="none" w:sz="0" w:space="0" w:color="auto"/>
            <w:right w:val="none" w:sz="0" w:space="0" w:color="auto"/>
          </w:divBdr>
          <w:divsChild>
            <w:div w:id="11730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2.bin"/><Relationship Id="rId117" Type="http://schemas.openxmlformats.org/officeDocument/2006/relationships/oleObject" Target="embeddings/oleObject52.bin"/><Relationship Id="rId21" Type="http://schemas.openxmlformats.org/officeDocument/2006/relationships/image" Target="media/image8.wmf"/><Relationship Id="rId42" Type="http://schemas.openxmlformats.org/officeDocument/2006/relationships/image" Target="media/image18.wmf"/><Relationship Id="rId47" Type="http://schemas.openxmlformats.org/officeDocument/2006/relationships/oleObject" Target="embeddings/oleObject22.bin"/><Relationship Id="rId63" Type="http://schemas.openxmlformats.org/officeDocument/2006/relationships/oleObject" Target="embeddings/oleObject30.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3.bin"/><Relationship Id="rId112" Type="http://schemas.openxmlformats.org/officeDocument/2006/relationships/image" Target="media/image54.png"/><Relationship Id="rId16" Type="http://schemas.openxmlformats.org/officeDocument/2006/relationships/oleObject" Target="embeddings/oleObject6.bin"/><Relationship Id="rId107" Type="http://schemas.openxmlformats.org/officeDocument/2006/relationships/image" Target="media/image51.png"/><Relationship Id="rId11" Type="http://schemas.openxmlformats.org/officeDocument/2006/relationships/image" Target="media/image4.wmf"/><Relationship Id="rId24" Type="http://schemas.openxmlformats.org/officeDocument/2006/relationships/oleObject" Target="embeddings/oleObject11.bin"/><Relationship Id="rId32" Type="http://schemas.openxmlformats.org/officeDocument/2006/relationships/oleObject" Target="embeddings/oleObject15.bin"/><Relationship Id="rId37" Type="http://schemas.openxmlformats.org/officeDocument/2006/relationships/oleObject" Target="embeddings/oleObject17.bin"/><Relationship Id="rId40" Type="http://schemas.openxmlformats.org/officeDocument/2006/relationships/image" Target="media/image17.wmf"/><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image" Target="media/image26.wmf"/><Relationship Id="rId66" Type="http://schemas.openxmlformats.org/officeDocument/2006/relationships/image" Target="media/image30.wmf"/><Relationship Id="rId74" Type="http://schemas.openxmlformats.org/officeDocument/2006/relationships/image" Target="media/image34.wmf"/><Relationship Id="rId79" Type="http://schemas.openxmlformats.org/officeDocument/2006/relationships/oleObject" Target="embeddings/oleObject38.bin"/><Relationship Id="rId87" Type="http://schemas.openxmlformats.org/officeDocument/2006/relationships/oleObject" Target="embeddings/oleObject42.bin"/><Relationship Id="rId102" Type="http://schemas.openxmlformats.org/officeDocument/2006/relationships/image" Target="media/image48.png"/><Relationship Id="rId110" Type="http://schemas.openxmlformats.org/officeDocument/2006/relationships/image" Target="media/image53.wmf"/><Relationship Id="rId115" Type="http://schemas.microsoft.com/office/2007/relationships/hdphoto" Target="media/hdphoto4.wdp"/><Relationship Id="rId5" Type="http://schemas.openxmlformats.org/officeDocument/2006/relationships/image" Target="media/image1.wmf"/><Relationship Id="rId61" Type="http://schemas.openxmlformats.org/officeDocument/2006/relationships/oleObject" Target="embeddings/oleObject29.bin"/><Relationship Id="rId82" Type="http://schemas.openxmlformats.org/officeDocument/2006/relationships/image" Target="media/image38.wmf"/><Relationship Id="rId90" Type="http://schemas.openxmlformats.org/officeDocument/2006/relationships/image" Target="media/image42.wmf"/><Relationship Id="rId95" Type="http://schemas.openxmlformats.org/officeDocument/2006/relationships/oleObject" Target="embeddings/oleObject46.bin"/><Relationship Id="rId19" Type="http://schemas.openxmlformats.org/officeDocument/2006/relationships/image" Target="media/image7.wmf"/><Relationship Id="rId14" Type="http://schemas.openxmlformats.org/officeDocument/2006/relationships/oleObject" Target="embeddings/oleObject5.bin"/><Relationship Id="rId22" Type="http://schemas.openxmlformats.org/officeDocument/2006/relationships/oleObject" Target="embeddings/oleObject10.bin"/><Relationship Id="rId27" Type="http://schemas.openxmlformats.org/officeDocument/2006/relationships/image" Target="media/image11.wmf"/><Relationship Id="rId30" Type="http://schemas.openxmlformats.org/officeDocument/2006/relationships/oleObject" Target="embeddings/oleObject14.bin"/><Relationship Id="rId35" Type="http://schemas.openxmlformats.org/officeDocument/2006/relationships/hyperlink" Target="mailto:utkirbekurolov@mail.ru" TargetMode="External"/><Relationship Id="rId43" Type="http://schemas.openxmlformats.org/officeDocument/2006/relationships/oleObject" Target="embeddings/oleObject20.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oleObject" Target="embeddings/oleObject33.bin"/><Relationship Id="rId77" Type="http://schemas.openxmlformats.org/officeDocument/2006/relationships/oleObject" Target="embeddings/oleObject37.bin"/><Relationship Id="rId100" Type="http://schemas.openxmlformats.org/officeDocument/2006/relationships/image" Target="media/image47.wmf"/><Relationship Id="rId105" Type="http://schemas.openxmlformats.org/officeDocument/2006/relationships/oleObject" Target="embeddings/oleObject50.bin"/><Relationship Id="rId113" Type="http://schemas.microsoft.com/office/2007/relationships/hdphoto" Target="media/hdphoto3.wdp"/><Relationship Id="rId118"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oleObject" Target="embeddings/oleObject24.bin"/><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oleObject" Target="embeddings/oleObject41.bin"/><Relationship Id="rId93" Type="http://schemas.openxmlformats.org/officeDocument/2006/relationships/oleObject" Target="embeddings/oleObject45.bin"/><Relationship Id="rId98" Type="http://schemas.openxmlformats.org/officeDocument/2006/relationships/image" Target="media/image46.wmf"/><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oleObject" Target="embeddings/oleObject7.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8.bin"/><Relationship Id="rId67" Type="http://schemas.openxmlformats.org/officeDocument/2006/relationships/oleObject" Target="embeddings/oleObject32.bin"/><Relationship Id="rId103" Type="http://schemas.microsoft.com/office/2007/relationships/hdphoto" Target="media/hdphoto1.wdp"/><Relationship Id="rId108" Type="http://schemas.openxmlformats.org/officeDocument/2006/relationships/image" Target="media/image52.png"/><Relationship Id="rId116" Type="http://schemas.openxmlformats.org/officeDocument/2006/relationships/image" Target="media/image56.wmf"/><Relationship Id="rId20" Type="http://schemas.openxmlformats.org/officeDocument/2006/relationships/oleObject" Target="embeddings/oleObject9.bin"/><Relationship Id="rId41" Type="http://schemas.openxmlformats.org/officeDocument/2006/relationships/oleObject" Target="embeddings/oleObject19.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6.bin"/><Relationship Id="rId83" Type="http://schemas.openxmlformats.org/officeDocument/2006/relationships/oleObject" Target="embeddings/oleObject40.bin"/><Relationship Id="rId88" Type="http://schemas.openxmlformats.org/officeDocument/2006/relationships/image" Target="media/image41.wmf"/><Relationship Id="rId91" Type="http://schemas.openxmlformats.org/officeDocument/2006/relationships/oleObject" Target="embeddings/oleObject44.bin"/><Relationship Id="rId96" Type="http://schemas.openxmlformats.org/officeDocument/2006/relationships/image" Target="media/image45.wmf"/><Relationship Id="rId111" Type="http://schemas.openxmlformats.org/officeDocument/2006/relationships/oleObject" Target="embeddings/oleObject51.bin"/><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9.wmf"/><Relationship Id="rId28" Type="http://schemas.openxmlformats.org/officeDocument/2006/relationships/oleObject" Target="embeddings/oleObject13.bin"/><Relationship Id="rId36" Type="http://schemas.openxmlformats.org/officeDocument/2006/relationships/image" Target="media/image15.wmf"/><Relationship Id="rId49" Type="http://schemas.openxmlformats.org/officeDocument/2006/relationships/oleObject" Target="embeddings/oleObject23.bin"/><Relationship Id="rId57" Type="http://schemas.openxmlformats.org/officeDocument/2006/relationships/oleObject" Target="embeddings/oleObject27.bin"/><Relationship Id="rId106" Type="http://schemas.openxmlformats.org/officeDocument/2006/relationships/image" Target="media/image50.png"/><Relationship Id="rId114" Type="http://schemas.openxmlformats.org/officeDocument/2006/relationships/image" Target="media/image55.png"/><Relationship Id="rId119" Type="http://schemas.openxmlformats.org/officeDocument/2006/relationships/theme" Target="theme/theme1.xml"/><Relationship Id="rId10" Type="http://schemas.openxmlformats.org/officeDocument/2006/relationships/oleObject" Target="embeddings/oleObject3.bin"/><Relationship Id="rId31" Type="http://schemas.openxmlformats.org/officeDocument/2006/relationships/image" Target="media/image13.wmf"/><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31.bin"/><Relationship Id="rId73" Type="http://schemas.openxmlformats.org/officeDocument/2006/relationships/oleObject" Target="embeddings/oleObject35.bin"/><Relationship Id="rId78" Type="http://schemas.openxmlformats.org/officeDocument/2006/relationships/image" Target="media/image36.wmf"/><Relationship Id="rId81" Type="http://schemas.openxmlformats.org/officeDocument/2006/relationships/oleObject" Target="embeddings/oleObject39.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8.bin"/><Relationship Id="rId101" Type="http://schemas.openxmlformats.org/officeDocument/2006/relationships/oleObject" Target="embeddings/oleObject49.bin"/><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8.bin"/><Relationship Id="rId39" Type="http://schemas.openxmlformats.org/officeDocument/2006/relationships/oleObject" Target="embeddings/oleObject18.bin"/><Relationship Id="rId109" Type="http://schemas.microsoft.com/office/2007/relationships/hdphoto" Target="media/hdphoto2.wdp"/><Relationship Id="rId34" Type="http://schemas.openxmlformats.org/officeDocument/2006/relationships/oleObject" Target="embeddings/oleObject16.bin"/><Relationship Id="rId50" Type="http://schemas.openxmlformats.org/officeDocument/2006/relationships/image" Target="media/image22.wmf"/><Relationship Id="rId55" Type="http://schemas.openxmlformats.org/officeDocument/2006/relationships/oleObject" Target="embeddings/oleObject26.bin"/><Relationship Id="rId76" Type="http://schemas.openxmlformats.org/officeDocument/2006/relationships/image" Target="media/image35.wmf"/><Relationship Id="rId97" Type="http://schemas.openxmlformats.org/officeDocument/2006/relationships/oleObject" Target="embeddings/oleObject47.bin"/><Relationship Id="rId104" Type="http://schemas.openxmlformats.org/officeDocument/2006/relationships/image" Target="media/image49.wmf"/><Relationship Id="rId7" Type="http://schemas.openxmlformats.org/officeDocument/2006/relationships/image" Target="media/image2.wmf"/><Relationship Id="rId71" Type="http://schemas.openxmlformats.org/officeDocument/2006/relationships/oleObject" Target="embeddings/oleObject34.bin"/><Relationship Id="rId92" Type="http://schemas.openxmlformats.org/officeDocument/2006/relationships/image" Target="media/image43.wmf"/><Relationship Id="rId2" Type="http://schemas.openxmlformats.org/officeDocument/2006/relationships/styles" Target="styles.xml"/><Relationship Id="rId29" Type="http://schemas.openxmlformats.org/officeDocument/2006/relationships/image" Target="media/image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2650</Words>
  <Characters>15106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7</cp:revision>
  <cp:lastPrinted>2026-04-29T13:13:00Z</cp:lastPrinted>
  <dcterms:created xsi:type="dcterms:W3CDTF">2026-07-27T13:32:00Z</dcterms:created>
  <dcterms:modified xsi:type="dcterms:W3CDTF">2026-07-27T17:55:00Z</dcterms:modified>
</cp:coreProperties>
</file>